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Psychiatrist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Psychiatrist experienced in conducting comprehensive mental health assessments, managing complex medication regimens and delivering evidence-based psychotherapy across hospital, community and private practice settings. Confident coordinating care with multidisciplinary teams and maintaining rigorous clinical documentation. Works within AHPRA and RANZCP standards to deliver safe, patient-centred psychiatric care.</w:t>
      </w:r>
    </w:p>
    <w:p>
      <w:pPr>
        <w:spacing w:before="280" w:after="120"/>
        <w:jc w:val="left"/>
        <w:pBdr>
          <w:bottom w:val="single" w:sz="6" w:space="4" w:color="DFDED8"/>
        </w:pBdr>
      </w:pPr>
      <w:r>
        <w:rPr>
          <w:b/>
          <w:color w:val="2F62D9"/>
          <w:sz w:val="22"/>
        </w:rPr>
        <w:t>KEY SKILLS</w:t>
      </w:r>
    </w:p>
    <w:p>
      <w:pPr>
        <w:spacing w:before="0" w:after="200"/>
        <w:jc w:val="left"/>
      </w:pPr>
      <w:r>
        <w:t>Clinical assessment and diagnosis using DSM-5   •   Medication management and monitoring of psychotropic drugs   •   Delivery of evidence-based psychotherapy, including CBT   •   Care planning and coordination for complex presentations   •   Multidisciplinary team collaboration and referral   •   Electronic health records (EHR) documentation   •   Prescription management systems   •   Clinical assessment scales   •   Telehealth service delivery   •   Regulatory compliance (AHPRA, RANZCP, Mental Health Act)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Psychiatrist</w:t>
      </w:r>
      <w:r>
        <w:t>, [Company Name], [City]</w:t>
      </w:r>
      <w:r>
        <w:rPr>
          <w:i/>
        </w:rPr>
        <w:tab/>
        <w:t>[Month Year] – [Month Year / Present]</w:t>
      </w:r>
    </w:p>
    <w:p>
      <w:pPr>
        <w:pStyle w:val="ListBullet"/>
        <w:spacing w:after="80" w:line="276" w:lineRule="auto"/>
      </w:pPr>
      <w:r>
        <w:t>Conducted comprehensive psychiatric assessments and diagnostic interviews for patients presenting with mood, anxiety, psychotic and personality disorders, informing accurate diagnosis and treatment planning</w:t>
      </w:r>
    </w:p>
    <w:p>
      <w:pPr>
        <w:pStyle w:val="ListBullet"/>
        <w:spacing w:after="80" w:line="276" w:lineRule="auto"/>
      </w:pPr>
      <w:r>
        <w:t>Prescribed and monitored psychotropic medications, adjusting regimens based on clinical review and patient-reported side effects to improve tolerability</w:t>
      </w:r>
    </w:p>
    <w:p>
      <w:pPr>
        <w:pStyle w:val="ListBullet"/>
        <w:spacing w:after="80" w:line="276" w:lineRule="auto"/>
      </w:pPr>
      <w:r>
        <w:t>Delivered evidence-based psychotherapy, including cognitive behavioural therapy, to patients managing depression, anxiety and trauma-related conditions</w:t>
      </w:r>
    </w:p>
    <w:p>
      <w:pPr>
        <w:pStyle w:val="ListBullet"/>
        <w:spacing w:after="80" w:line="276" w:lineRule="auto"/>
      </w:pPr>
      <w:r>
        <w:t>Wrote detailed clinical reports and maintained patient records in electronic health record systems in line with AHPRA documentation requirements</w:t>
      </w:r>
    </w:p>
    <w:p>
      <w:pPr>
        <w:pStyle w:val="ListBullet"/>
        <w:spacing w:after="80" w:line="276" w:lineRule="auto"/>
      </w:pPr>
      <w:r>
        <w:t>Collaborated with psychologists, social workers, GPs and other allied health professionals to coordinate care plans for patients with complex, co-occurring needs</w:t>
      </w:r>
    </w:p>
    <w:p>
      <w:pPr>
        <w:pStyle w:val="ListBullet"/>
        <w:spacing w:after="240" w:line="276" w:lineRule="auto"/>
      </w:pPr>
      <w:r>
        <w:t>Consulted with patients via telehealth platforms, extending follow-up review access for patients in regional and remote locations</w:t>
      </w:r>
    </w:p>
    <w:p>
      <w:pPr>
        <w:spacing w:before="280" w:after="120"/>
        <w:jc w:val="left"/>
        <w:pBdr>
          <w:bottom w:val="single" w:sz="6" w:space="4" w:color="DFDED8"/>
        </w:pBdr>
      </w:pPr>
      <w:r>
        <w:rPr>
          <w:b/>
          <w:color w:val="2F62D9"/>
          <w:sz w:val="22"/>
        </w:rPr>
        <w:t>EDUCATION</w:t>
      </w:r>
    </w:p>
    <w:p>
      <w:pPr>
        <w:spacing w:before="0" w:after="200"/>
        <w:jc w:val="left"/>
      </w:pPr>
      <w:r>
        <w:t>Medical degree (MBBS or equivalent), followed by internship, residency and RANZCP Fellowship training (minimum five years) to achieve Fellowship of the Royal Australian and New Zealand College of Psychiatrists (FRANZCP) and AHPRA specialist registration.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