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Psychologist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psychologist with experience delivering evidence-based assessment and therapy across clinical and community settings. Skilled in conducting standardised psychological testing, developing individualised treatment plans, and working alongside medical and allied health teams to support client wellbeing. Committed to maintaining the clinical standards and record-keeping practices required under AHPRA registration.</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Cognitive-behavioural therapy (CBT) and trauma-focused interventions   •   WISC and WAIS test administration and scoring   •   Clinical report writing   •   Secure patient record management (Best Practice, Clinician)   •   Stakeholder and multidisciplinary team liaison   •   Telehealth service delivery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Psychologist</w:t>
      </w:r>
      <w:r>
        <w:t>, [Company Name], [City]</w:t>
      </w:r>
      <w:r>
        <w:rPr>
          <w:i/>
        </w:rPr>
        <w:tab/>
        <w:t>[Month Year] – [Month Year / Present]</w:t>
      </w:r>
    </w:p>
    <w:p>
      <w:pPr>
        <w:pStyle w:val="ListBullet"/>
        <w:spacing w:after="80" w:line="276" w:lineRule="auto"/>
      </w:pPr>
      <w:r>
        <w:t>Conducted clinical interviews and administered standardised assessments including WISC, WAIS, PHQ-9 and GAD-7 to inform diagnosis and treatment planning</w:t>
      </w:r>
    </w:p>
    <w:p>
      <w:pPr>
        <w:pStyle w:val="ListBullet"/>
        <w:spacing w:after="80" w:line="276" w:lineRule="auto"/>
      </w:pPr>
      <w:r>
        <w:t>Delivered CBT and trauma-focused therapy across a caseload of clients presenting with anxiety, depression and complex trauma, adjusting treatment plans in response to progress reviews</w:t>
      </w:r>
    </w:p>
    <w:p>
      <w:pPr>
        <w:pStyle w:val="ListBullet"/>
        <w:spacing w:after="80" w:line="276" w:lineRule="auto"/>
      </w:pPr>
      <w:r>
        <w:t>Wrote detailed clinical reports and maintained secure records in line with AHPRA and privacy obligations, supporting continuity of care across referrals</w:t>
      </w:r>
    </w:p>
    <w:p>
      <w:pPr>
        <w:pStyle w:val="ListBullet"/>
        <w:spacing w:after="80" w:line="276" w:lineRule="auto"/>
      </w:pPr>
      <w:r>
        <w:t>Coordinated care plans with GPs, psychiatrists, educators and social workers, reducing gaps in client support during transitions between services</w:t>
      </w:r>
    </w:p>
    <w:p>
      <w:pPr>
        <w:pStyle w:val="ListBullet"/>
        <w:spacing w:after="240" w:line="276" w:lineRule="auto"/>
      </w:pPr>
      <w:r>
        <w:t>Delivered a portion of client sessions via telehealth platforms, maintaining engagement and clinical rigour for clients in regional or remote locations</w:t>
      </w:r>
    </w:p>
    <w:p>
      <w:pPr>
        <w:spacing w:before="280" w:after="120"/>
        <w:jc w:val="left"/>
        <w:pBdr>
          <w:bottom w:val="single" w:sz="6" w:space="4" w:color="DFDED8"/>
        </w:pBdr>
      </w:pPr>
      <w:r>
        <w:rPr>
          <w:b/>
          <w:color w:val="2F62D9"/>
          <w:sz w:val="22"/>
        </w:rPr>
        <w:t>EDUCATION</w:t>
      </w:r>
    </w:p>
    <w:p>
      <w:pPr>
        <w:spacing w:before="0" w:after="200"/>
        <w:jc w:val="left"/>
      </w:pPr>
      <w:r>
        <w:t>Bachelor degree in psychology (APAC-accredited) followed by an APAC-accredited postgraduate qualification or the 5+1 internship pathway, plus general or provisional registration with the Psychology Board of Australia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