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Racing Handicapper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Racing Handicapper with a background in form analysis, statistical modelling and race programming. Experienced in applying the Racing Australia National Handicapping System to assess nominations, allocate weights and set benchmark ratings. Works closely with stewards, clubs and trainers to keep races competitive and fair.</w:t>
      </w:r>
    </w:p>
    <w:p>
      <w:pPr>
        <w:spacing w:before="280" w:after="120"/>
        <w:jc w:val="left"/>
        <w:pBdr>
          <w:bottom w:val="single" w:sz="6" w:space="4" w:color="DFDED8"/>
        </w:pBdr>
      </w:pPr>
      <w:r>
        <w:rPr>
          <w:b/>
          <w:color w:val="2F62D9"/>
          <w:sz w:val="22"/>
        </w:rPr>
        <w:t>KEY SKILLS</w:t>
      </w:r>
    </w:p>
    <w:p>
      <w:pPr>
        <w:spacing w:before="0" w:after="200"/>
        <w:jc w:val="left"/>
      </w:pPr>
      <w:r>
        <w:t>Data analysis   •   Statistical modelling   •   Economic modelling   •   Racing Australia National Handicapping System   •   Timeform   •   Microsoft Excel   •   Form and ratings databases   •   Racing Australia form service   •   Attention to detail   •   Problem solving   •   Time and deadline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Racing Handicapper</w:t>
      </w:r>
      <w:r>
        <w:t>, [Company Name], [City]</w:t>
      </w:r>
      <w:r>
        <w:rPr>
          <w:i/>
        </w:rPr>
        <w:tab/>
        <w:t>[Month Year] – [Month Year / Present]</w:t>
      </w:r>
    </w:p>
    <w:p>
      <w:pPr>
        <w:pStyle w:val="ListBullet"/>
        <w:spacing w:after="80" w:line="276" w:lineRule="auto"/>
      </w:pPr>
      <w:r>
        <w:t>Allocated weights for metropolitan and country race meetings across a full racing calendar, ensuring every field met the rules of racing and competitive balance requirements.</w:t>
      </w:r>
    </w:p>
    <w:p>
      <w:pPr>
        <w:pStyle w:val="ListBullet"/>
        <w:spacing w:after="80" w:line="276" w:lineRule="auto"/>
      </w:pPr>
      <w:r>
        <w:t>Analysed form, sectional times and historical ratings to set benchmark ratings for horses after each performance, reducing the number of weight-related queries from trainers.</w:t>
      </w:r>
    </w:p>
    <w:p>
      <w:pPr>
        <w:pStyle w:val="ListBullet"/>
        <w:spacing w:after="80" w:line="276" w:lineRule="auto"/>
      </w:pPr>
      <w:r>
        <w:t>Published handicap and ratings information ahead of race meetings, consistently meeting publication deadlines and maintaining accuracy across the jurisdiction.</w:t>
      </w:r>
    </w:p>
    <w:p>
      <w:pPr>
        <w:pStyle w:val="ListBullet"/>
        <w:spacing w:after="80" w:line="276" w:lineRule="auto"/>
      </w:pPr>
      <w:r>
        <w:t>Consulted with stewards, clubs and trainers on handicap matters, resolving disputes promptly and consistently with the national handicapping system.</w:t>
      </w:r>
    </w:p>
    <w:p>
      <w:pPr>
        <w:pStyle w:val="ListBullet"/>
        <w:spacing w:after="240" w:line="276" w:lineRule="auto"/>
      </w:pPr>
      <w:r>
        <w:t>Maintained and updated ratings databases, improving the reliability of historical comparisons and supporting faster race programming decisions.</w:t>
      </w:r>
    </w:p>
    <w:p>
      <w:pPr>
        <w:spacing w:before="280" w:after="120"/>
        <w:jc w:val="left"/>
        <w:pBdr>
          <w:bottom w:val="single" w:sz="6" w:space="4" w:color="DFDED8"/>
        </w:pBdr>
      </w:pPr>
      <w:r>
        <w:rPr>
          <w:b/>
          <w:color w:val="2F62D9"/>
          <w:sz w:val="22"/>
        </w:rPr>
        <w:t>EDUCATION</w:t>
      </w:r>
    </w:p>
    <w:p>
      <w:pPr>
        <w:spacing w:before="0" w:after="200"/>
        <w:jc w:val="left"/>
      </w:pPr>
      <w:r>
        <w:t>Bachelor degree in mathematics, statistics, data science or a related discipline, combined with practical racing industry experience; some handicappers enter through a diploma or advanced diploma in racing or equine studies.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