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Records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Records Manager with experience across public sector and regulated settings, focused on information governance and compliance. Skilled in developing records policies, managing retention and disposal schedules, and administering EDRMS platforms including Objective ECM and Micro Focus Content Manager. Known for making recordkeeping practical for busy teams and improving how staff find and trust organisational information.</w:t>
      </w:r>
    </w:p>
    <w:p>
      <w:pPr>
        <w:spacing w:before="280" w:after="120"/>
        <w:jc w:val="left"/>
        <w:pBdr>
          <w:bottom w:val="single" w:sz="6" w:space="4" w:color="DFDED8"/>
        </w:pBdr>
      </w:pPr>
      <w:r>
        <w:rPr>
          <w:b/>
          <w:color w:val="2F62D9"/>
          <w:sz w:val="22"/>
        </w:rPr>
        <w:t>KEY SKILLS</w:t>
      </w:r>
    </w:p>
    <w:p>
      <w:pPr>
        <w:spacing w:before="0" w:after="200"/>
        <w:jc w:val="left"/>
      </w:pPr>
      <w:r>
        <w:t>Regulatory compliance (Privacy Act 1988, FOI, State Records Acts)   •   Process improvement   •   Project management   •   Retention and disposal scheduling   •   Information classification and cataloguing   •   Records management policy development   •   Microsoft SharePoint   •   Objective ECM   •   Micro Focus Content Manager   •   Microsoft 365   •   Attention to detail   •   Stakeholder management   •   Written communication   •   Digital literacy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Records Manager</w:t>
      </w:r>
      <w:r>
        <w:t>, [Company Name], [City]</w:t>
      </w:r>
      <w:r>
        <w:rPr>
          <w:i/>
        </w:rPr>
        <w:tab/>
        <w:t>[Month Year] – [Month Year / Present]</w:t>
      </w:r>
    </w:p>
    <w:p>
      <w:pPr>
        <w:pStyle w:val="ListBullet"/>
        <w:spacing w:after="80" w:line="276" w:lineRule="auto"/>
      </w:pPr>
      <w:r>
        <w:t>Developed and implemented a records management policy across a 200-person agency, clarifying responsibilities and reducing duplicate file creation.</w:t>
      </w:r>
    </w:p>
    <w:p>
      <w:pPr>
        <w:pStyle w:val="ListBullet"/>
        <w:spacing w:after="80" w:line="276" w:lineRule="auto"/>
      </w:pPr>
      <w:r>
        <w:t>Rebuilt retention and disposal schedules for 15 business units, turning overdue sentencing into a fortnightly routine and cutting the backlog of unsentenced records.</w:t>
      </w:r>
    </w:p>
    <w:p>
      <w:pPr>
        <w:pStyle w:val="ListBullet"/>
        <w:spacing w:after="80" w:line="276" w:lineRule="auto"/>
      </w:pPr>
      <w:r>
        <w:t>Migrated 12,000 physical files into Objective ECM, improving retrieval times and giving staff a single place to locate authoritative documents.</w:t>
      </w:r>
    </w:p>
    <w:p>
      <w:pPr>
        <w:pStyle w:val="ListBullet"/>
        <w:spacing w:after="80" w:line="276" w:lineRule="auto"/>
      </w:pPr>
      <w:r>
        <w:t>Trained 80 staff across four sessions on SharePoint records libraries, raising correct filing rates and reducing misplaced documents.</w:t>
      </w:r>
    </w:p>
    <w:p>
      <w:pPr>
        <w:pStyle w:val="ListBullet"/>
        <w:spacing w:after="80" w:line="276" w:lineRule="auto"/>
      </w:pPr>
      <w:r>
        <w:t>Coordinated FOI and privacy access requests, tracking statutory due dates and working with legal teams to meet timeframes.</w:t>
      </w:r>
    </w:p>
    <w:p>
      <w:pPr>
        <w:pStyle w:val="ListBullet"/>
        <w:spacing w:after="240" w:line="276" w:lineRule="auto"/>
      </w:pPr>
      <w:r>
        <w:t>Led a digitisation project for inactive records, freeing up storeroom space and creating a searchable digital archive for compliance and research.</w:t>
      </w:r>
    </w:p>
    <w:p>
      <w:pPr>
        <w:spacing w:before="280" w:after="120"/>
        <w:jc w:val="left"/>
        <w:pBdr>
          <w:bottom w:val="single" w:sz="6" w:space="4" w:color="DFDED8"/>
        </w:pBdr>
      </w:pPr>
      <w:r>
        <w:rPr>
          <w:b/>
          <w:color w:val="2F62D9"/>
          <w:sz w:val="22"/>
        </w:rPr>
        <w:t>EDUCATION</w:t>
      </w:r>
    </w:p>
    <w:p>
      <w:pPr>
        <w:spacing w:before="0" w:after="200"/>
        <w:jc w:val="left"/>
      </w:pPr>
      <w:r>
        <w:t>Entry is mixed: many records managers hold a bachelor degree in information management, librarianship or a related discipline, while others progress from a Certificate IV in Recordkeeping or a Diploma of Records and Information Management. Postgraduate study in information management or archives is common for senior or specialist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