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Regulatory Affairs Manager</w:t>
      </w:r>
    </w:p>
    <w:p>
      <w:pPr>
        <w:spacing w:before="0" w:after="240"/>
      </w:pPr>
      <w:r>
        <w:t>I am applying for the Regulatory Affairs Manager role with [Company Name]. With a background preparing TGA and APVMA submissions and coordinating compliance advice across scientific and commercial teams, I can help keep your product portfolio lawful, safe and available in the Australian market.</w:t>
      </w:r>
    </w:p>
    <w:p>
      <w:pPr>
        <w:spacing w:before="0" w:after="240"/>
      </w:pPr>
      <w:r>
        <w:t>In my current role, I prepared and lodged registration dossiers for a portfolio of prescription medicines, bringing together manufacturing, clinical and labelling data from three departments. When the TGA raised questions on one submission, I coordinated the responses, tracked every commitment in Veeva Vault and kept the review moving, which helped the product reach the Australian Register of Therapeutic Goods without a major rework cycle.</w:t>
      </w:r>
    </w:p>
    <w:p>
      <w:pPr>
        <w:spacing w:before="0" w:after="240"/>
      </w:pPr>
      <w:r>
        <w:t>I want to work with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support your regulatory strategy and submission pipeline.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