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Regulatory Affairs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Regulatory affairs manager with experience preparing and lodging dossiers for therapeutic goods and medical devices in Australia. Skilled at interpreting TGA and APVMA requirements, coordinating cross-functional responses and maintaining submission records in Veeva Vault. Known for turning complex regulatory detail into clear advice for product and research teams.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Regulatory compliance   •   Regulatory and administrative law   •   Risk and internal controls   •   Project management   •   Policy analysis and advice   •   Veeva Vault   •   MasterControl   •   SAP   •   Microsoft Excel   •   TrackWise   •   Stakeholder management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Regulatory Affairs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and lodged registration dossiers with the TGA for a portfolio of prescription medicines, coordinating clinical, manufacturing and labelling data from three departments.</w:t>
      </w:r>
    </w:p>
    <w:p>
      <w:pPr>
        <w:pStyle w:val="ListBullet"/>
        <w:spacing w:after="80" w:line="276" w:lineRule="auto"/>
      </w:pPr>
      <w:r>
        <w:t>Monitored changes to therapeutic goods, device and chemical regulations, turning updates into practical guidance for product and research teams and reducing last-minute submission rework.</w:t>
      </w:r>
    </w:p>
    <w:p>
      <w:pPr>
        <w:pStyle w:val="ListBullet"/>
        <w:spacing w:after="80" w:line="276" w:lineRule="auto"/>
      </w:pPr>
      <w:r>
        <w:t>Coordinated responses to regulator questions and audit findings, tracking each action in Veeva Vault until it was closed and keeping the review on schedule.</w:t>
      </w:r>
    </w:p>
    <w:p>
      <w:pPr>
        <w:pStyle w:val="ListBullet"/>
        <w:spacing w:after="80" w:line="276" w:lineRule="auto"/>
      </w:pPr>
      <w:r>
        <w:t>Maintained submission tracking systems and regulatory records, giving commercial teams a clear view of approval timelines across multiple markets.</w:t>
      </w:r>
    </w:p>
    <w:p>
      <w:pPr>
        <w:pStyle w:val="ListBullet"/>
        <w:spacing w:after="240" w:line="276" w:lineRule="auto"/>
      </w:pPr>
      <w:r>
        <w:t>Advised product teams on labelling, advertising and post-market compliance requirements, helping them avoid delays at the review stage.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science, pharmacy, law, engineering or a related field, often followed by postgraduate study in regulatory affairs; some managers enter with a diploma or advanced diploma and extensive industry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