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Rheumatologist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Rheumatologist with fellowship training through the Royal Australasian College of Physicians, experienced in diagnosing and managing inflammatory and autoimmune conditions in public and private settings. Skilled in biologic therapy monitoring, musculoskeletal ultrasound and multidisciplinary care planning. Committed to timely intervention that reduces joint damage and improves patient function.</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Care planning and coordination   •   MedicalDirector   •   Best Practice   •   Epic   •   PACS imaging systems   •   Musculoskeletal ultrasound   •   Written communication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Rheumatologist</w:t>
      </w:r>
      <w:r>
        <w:t>, [Company Name], [City]</w:t>
      </w:r>
      <w:r>
        <w:rPr>
          <w:i/>
        </w:rPr>
        <w:tab/>
        <w:t>[Month Year] – [Month Year / Present]</w:t>
      </w:r>
    </w:p>
    <w:p>
      <w:pPr>
        <w:pStyle w:val="ListBullet"/>
        <w:spacing w:after="80" w:line="276" w:lineRule="auto"/>
      </w:pPr>
      <w:r>
        <w:t>Assessed and managed a complex caseload of patients with rheumatoid arthritis, lupus and gout, achieving timely control of disease activity through individualised DMARD and biologic regimens.</w:t>
      </w:r>
    </w:p>
    <w:p>
      <w:pPr>
        <w:pStyle w:val="ListBullet"/>
        <w:spacing w:after="80" w:line="276" w:lineRule="auto"/>
      </w:pPr>
      <w:r>
        <w:t>Developed and implemented a rapid access clinic for suspected inflammatory arthritis, reducing time from referral to first treatment from six weeks to ten days.</w:t>
      </w:r>
    </w:p>
    <w:p>
      <w:pPr>
        <w:pStyle w:val="ListBullet"/>
        <w:spacing w:after="80" w:line="276" w:lineRule="auto"/>
      </w:pPr>
      <w:r>
        <w:t>Supervised rheumatology registrars and basic physician trainees in outpatient clinics, improving their confidence in joint aspiration and intra-articular injection techniques.</w:t>
      </w:r>
    </w:p>
    <w:p>
      <w:pPr>
        <w:pStyle w:val="ListBullet"/>
        <w:spacing w:after="80" w:line="276" w:lineRule="auto"/>
      </w:pPr>
      <w:r>
        <w:t>Coordinated multidisciplinary care plans with physiotherapy, occupational therapy and nursing, leading to improved patient adherence to long-term therapy.</w:t>
      </w:r>
    </w:p>
    <w:p>
      <w:pPr>
        <w:pStyle w:val="ListBullet"/>
        <w:spacing w:after="240" w:line="276" w:lineRule="auto"/>
      </w:pPr>
      <w:r>
        <w:t>Monitored and adjusted biologic therapies in accordance with safety guidelines, promptly identifying and managing adverse effects to maintain patient safety.</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prevocational hospital training and advanced training in rheumatology through the Royal Australasian College of Physicians, leading to Fellowship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