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Risk Analyst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Risk analyst with experience across financial and operational risk in banking, insurance or consulting. Skilled at building models and scenario analyses that translate exposure into clear numbers for decision makers. Works closely with audit teams, business units and regulators to keep risk registers and controls current.</w:t>
      </w:r>
    </w:p>
    <w:p>
      <w:pPr>
        <w:spacing w:before="280" w:after="120"/>
        <w:jc w:val="left"/>
        <w:pBdr>
          <w:bottom w:val="single" w:sz="6" w:space="4" w:color="DFDED8"/>
        </w:pBdr>
      </w:pPr>
      <w:r>
        <w:rPr>
          <w:b/>
          <w:color w:val="2F62D9"/>
          <w:sz w:val="22"/>
        </w:rPr>
        <w:t>KEY SKILLS</w:t>
      </w:r>
    </w:p>
    <w:p>
      <w:pPr>
        <w:spacing w:before="0" w:after="200"/>
        <w:jc w:val="left"/>
      </w:pPr>
      <w:r>
        <w:t>Risk and internal controls   •   Financial analysis and modelling   •   Data analysis   •   Regulatory compliance   •   Excel and VBA   •   Tableau or Power BI   •   Risk management software (RiskLync, SAS GRC)   •   SQL databases   •   Stakeholder management   •   Attention to detail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Risk Analyst</w:t>
      </w:r>
      <w:r>
        <w:t>, [Company Name], [City]</w:t>
      </w:r>
      <w:r>
        <w:rPr>
          <w:i/>
        </w:rPr>
        <w:tab/>
        <w:t>[Month Year] – [Month Year / Present]</w:t>
      </w:r>
    </w:p>
    <w:p>
      <w:pPr>
        <w:pStyle w:val="ListBullet"/>
        <w:spacing w:after="80" w:line="276" w:lineRule="auto"/>
      </w:pPr>
      <w:r>
        <w:t>Analysed financial statements and operational data to identify emerging risk exposures, flagging material issues ahead of quarterly reviews.</w:t>
      </w:r>
    </w:p>
    <w:p>
      <w:pPr>
        <w:pStyle w:val="ListBullet"/>
        <w:spacing w:after="80" w:line="276" w:lineRule="auto"/>
      </w:pPr>
      <w:r>
        <w:t>Built risk models and scenario analyses to quantify potential impact on business outcomes, supporting revisions to risk appetite statements.</w:t>
      </w:r>
    </w:p>
    <w:p>
      <w:pPr>
        <w:pStyle w:val="ListBullet"/>
        <w:spacing w:after="80" w:line="276" w:lineRule="auto"/>
      </w:pPr>
      <w:r>
        <w:t>Documented risk registers and control matrices aligned with APRA prudential standards, giving audit and compliance teams a single source of truth.</w:t>
      </w:r>
    </w:p>
    <w:p>
      <w:pPr>
        <w:pStyle w:val="ListBullet"/>
        <w:spacing w:after="80" w:line="276" w:lineRule="auto"/>
      </w:pPr>
      <w:r>
        <w:t>Presented risk assessments and recommendations to executive and board-level stakeholders, translating complex model outputs into clear options.</w:t>
      </w:r>
    </w:p>
    <w:p>
      <w:pPr>
        <w:pStyle w:val="ListBullet"/>
        <w:spacing w:after="240" w:line="276" w:lineRule="auto"/>
      </w:pPr>
      <w:r>
        <w:t>Monitored key risk indicators and control effectiveness against agreed tolerance thresholds, escalating breaches with recommended remediation actions.</w:t>
      </w:r>
    </w:p>
    <w:p>
      <w:pPr>
        <w:spacing w:before="280" w:after="120"/>
        <w:jc w:val="left"/>
        <w:pBdr>
          <w:bottom w:val="single" w:sz="6" w:space="4" w:color="DFDED8"/>
        </w:pBdr>
      </w:pPr>
      <w:r>
        <w:rPr>
          <w:b/>
          <w:color w:val="2F62D9"/>
          <w:sz w:val="22"/>
        </w:rPr>
        <w:t>EDUCATION</w:t>
      </w:r>
    </w:p>
    <w:p>
      <w:pPr>
        <w:spacing w:before="0" w:after="200"/>
        <w:jc w:val="left"/>
      </w:pPr>
      <w:r>
        <w:t>Bachelor degree in finance, economics, commerce, actuarial studies or a related field, with many risk analysts also holding a postgraduate qualification such as a Master of Risk Management or a Graduate Diploma. Professional certifications like FRM (Financial Risk Manager) or CFA are common.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