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Security Consultant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Security consultant with a background in risk assessment, security operations and regulatory compliance. Experienced in designing protection strategies for people, property and information, and in conducting audits and incident investigations across government and commercial settings.</w:t>
      </w:r>
    </w:p>
    <w:p>
      <w:pPr>
        <w:spacing w:before="280" w:after="120"/>
        <w:jc w:val="left"/>
        <w:pBdr>
          <w:bottom w:val="single" w:sz="6" w:space="4" w:color="DFDED8"/>
        </w:pBdr>
      </w:pPr>
      <w:r>
        <w:rPr>
          <w:b/>
          <w:color w:val="2F62D9"/>
          <w:sz w:val="22"/>
        </w:rPr>
        <w:t>KEY SKILLS</w:t>
      </w:r>
    </w:p>
    <w:p>
      <w:pPr>
        <w:spacing w:before="0" w:after="200"/>
        <w:jc w:val="left"/>
      </w:pPr>
      <w:r>
        <w:t>Risk and internal controls   •   Security operations   •   Regulatory compliance   •   Security risk assessments   •   Emergency and incident management   •   Security audits   •   Access control systems (Lenel OnGuard, Gallagher)   •   Video management systems (Genetec Security Center, Milestone XProtect)   •   Written communication   •   Stakeholder management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Security Consultant</w:t>
      </w:r>
      <w:r>
        <w:t>, [Company Name], [City]</w:t>
      </w:r>
      <w:r>
        <w:rPr>
          <w:i/>
        </w:rPr>
        <w:tab/>
        <w:t>[Month Year] – [Month Year / Present]</w:t>
      </w:r>
    </w:p>
    <w:p>
      <w:pPr>
        <w:pStyle w:val="ListBullet"/>
        <w:spacing w:after="80" w:line="276" w:lineRule="auto"/>
      </w:pPr>
      <w:r>
        <w:t>Conducted security risk assessments for corporate and government sites, identifying vulnerabilities and recommending practical mitigation measures.</w:t>
      </w:r>
    </w:p>
    <w:p>
      <w:pPr>
        <w:pStyle w:val="ListBullet"/>
        <w:spacing w:after="80" w:line="276" w:lineRule="auto"/>
      </w:pPr>
      <w:r>
        <w:t>Designed security procedures and emergency plans, improving response readiness across multiple facilities.</w:t>
      </w:r>
    </w:p>
    <w:p>
      <w:pPr>
        <w:pStyle w:val="ListBullet"/>
        <w:spacing w:after="80" w:line="276" w:lineRule="auto"/>
      </w:pPr>
      <w:r>
        <w:t>Led security audits and compliance checks against industry standards, closing identified gaps within agreed timeframes.</w:t>
      </w:r>
    </w:p>
    <w:p>
      <w:pPr>
        <w:pStyle w:val="ListBullet"/>
        <w:spacing w:after="80" w:line="276" w:lineRule="auto"/>
      </w:pPr>
      <w:r>
        <w:t>Advised on physical security measures and technology, including access control and CCTV upgrades, to strengthen site protection.</w:t>
      </w:r>
    </w:p>
    <w:p>
      <w:pPr>
        <w:pStyle w:val="ListBullet"/>
        <w:spacing w:after="80" w:line="276" w:lineRule="auto"/>
      </w:pPr>
      <w:r>
        <w:t>Investigated security breaches and incidents, producing detailed reports that informed corrective actions and reduced repeat occurrences.</w:t>
      </w:r>
    </w:p>
    <w:p>
      <w:pPr>
        <w:pStyle w:val="ListBullet"/>
        <w:spacing w:after="80" w:line="276" w:lineRule="auto"/>
      </w:pPr>
      <w:r>
        <w:t>Managed access control system for a site with 300 staff and visitors, reducing unauthorised entry attempts.</w:t>
      </w:r>
    </w:p>
    <w:p>
      <w:pPr>
        <w:pStyle w:val="ListBullet"/>
        <w:spacing w:after="240" w:line="276" w:lineRule="auto"/>
      </w:pPr>
      <w:r>
        <w:t>Streamlined incident investigation templates, cutting reporting turnaround from four days to two.</w:t>
      </w:r>
    </w:p>
    <w:p>
      <w:pPr>
        <w:spacing w:before="280" w:after="120"/>
        <w:jc w:val="left"/>
        <w:pBdr>
          <w:bottom w:val="single" w:sz="6" w:space="4" w:color="DFDED8"/>
        </w:pBdr>
      </w:pPr>
      <w:r>
        <w:rPr>
          <w:b/>
          <w:color w:val="2F62D9"/>
          <w:sz w:val="22"/>
        </w:rPr>
        <w:t>EDUCATION</w:t>
      </w:r>
    </w:p>
    <w:p>
      <w:pPr>
        <w:spacing w:before="0" w:after="200"/>
        <w:jc w:val="left"/>
      </w:pPr>
      <w:r>
        <w:t>Certificate IV in Security and Risk Management (CPP40719), with many consultants also holding a Diploma of Security and Risk Management. State-based security licence and ASIAL membership are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