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Sexual Health Physician</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Sexual Health Physician with specialist training in the diagnosis and management of sexually transmitted infections and HIV. Works across public sexual health clinics, hospitals and community settings, combining clinical assessment with prevention counselling and public health follow up. Registered with AHPRA and committed to confidential, non judgemental care for people who often find it hard to access health services.</w:t>
      </w:r>
    </w:p>
    <w:p>
      <w:pPr>
        <w:spacing w:before="280" w:after="120"/>
        <w:jc w:val="left"/>
        <w:pBdr>
          <w:bottom w:val="single" w:sz="6" w:space="4" w:color="DFDED8"/>
        </w:pBdr>
      </w:pPr>
      <w:r>
        <w:rPr>
          <w:b/>
          <w:color w:val="2F62D9"/>
          <w:sz w:val="22"/>
        </w:rPr>
        <w:t>KEY SKILLS</w:t>
      </w:r>
    </w:p>
    <w:p>
      <w:pPr>
        <w:spacing w:before="0" w:after="200"/>
        <w:jc w:val="left"/>
      </w:pPr>
      <w:r>
        <w:t>Sexual health history taking and genital examination   •   Diagnosis and treatment of syphilis, gonorrhoea, chlamydia and other STIs   •   Antiretroviral therapy initiation, monitoring and adherence support   •   PrEP assessment, prescribing and follow up   •   Partner notification and contact tracing   •   Notifiable disease reporting under public health legislation   •   Counselling on safer sex, contraception and prevention options   •   Infection control and hygiene in clinic settings   •   Best Practice Software   •   Genie Solutions   •   MedicalDirector   •   My Health Record   •   Microscopy and point of care testing systems   •   Written communication with referrers and public health teams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Sexual Health Physician</w:t>
      </w:r>
      <w:r>
        <w:t>, [Company Name], [City]</w:t>
      </w:r>
      <w:r>
        <w:rPr>
          <w:i/>
        </w:rPr>
        <w:tab/>
        <w:t>[Month Year] – [Month Year / Present]</w:t>
      </w:r>
    </w:p>
    <w:p>
      <w:pPr>
        <w:pStyle w:val="ListBullet"/>
        <w:spacing w:after="80" w:line="276" w:lineRule="auto"/>
      </w:pPr>
      <w:r>
        <w:t>Took sexual health histories and performed genital examinations for a high volume outpatient clinic, adjusting the approach for patients who were anxious or had previously had a poor experience of care.</w:t>
      </w:r>
    </w:p>
    <w:p>
      <w:pPr>
        <w:pStyle w:val="ListBullet"/>
        <w:spacing w:after="80" w:line="276" w:lineRule="auto"/>
      </w:pPr>
      <w:r>
        <w:t>Diagnosed and treated a full range of bacterial, viral and parasitic STIs, including managing syphilis staging and treatment decisions in complex presentations.</w:t>
      </w:r>
    </w:p>
    <w:p>
      <w:pPr>
        <w:pStyle w:val="ListBullet"/>
        <w:spacing w:after="80" w:line="276" w:lineRule="auto"/>
      </w:pPr>
      <w:r>
        <w:t>Initiated and monitored antiretroviral therapy for people living with HIV, working with nursing and pharmacy staff to keep review schedules and pathology monitoring on track.</w:t>
      </w:r>
    </w:p>
    <w:p>
      <w:pPr>
        <w:pStyle w:val="ListBullet"/>
        <w:spacing w:after="80" w:line="276" w:lineRule="auto"/>
      </w:pPr>
      <w:r>
        <w:t>Led the clinic's partner notification process on difficult cases, contacting patients whose results required urgent follow up and supporting them to notify partners.</w:t>
      </w:r>
    </w:p>
    <w:p>
      <w:pPr>
        <w:pStyle w:val="ListBullet"/>
        <w:spacing w:after="80" w:line="276" w:lineRule="auto"/>
      </w:pPr>
      <w:r>
        <w:t>Delivered prevention counselling covering safer sex, contraception options and PrEP, including explaining what a negative result does and does not tell a patient.</w:t>
      </w:r>
    </w:p>
    <w:p>
      <w:pPr>
        <w:pStyle w:val="ListBullet"/>
        <w:spacing w:after="80" w:line="276" w:lineRule="auto"/>
      </w:pPr>
      <w:r>
        <w:t>Completed notifiable disease notifications and written reports for public health units within required timeframes.</w:t>
      </w:r>
    </w:p>
    <w:p>
      <w:pPr>
        <w:pStyle w:val="ListBullet"/>
        <w:spacing w:after="80" w:line="276" w:lineRule="auto"/>
      </w:pPr>
      <w:r>
        <w:t>Supervised registrars and medical students in clinic, reviewing their histories and examination findings before management plans were finalised.</w:t>
      </w:r>
    </w:p>
    <w:p>
      <w:pPr>
        <w:pStyle w:val="ListBullet"/>
        <w:spacing w:after="240" w:line="276" w:lineRule="auto"/>
      </w:pPr>
      <w:r>
        <w:t>Maintained point of care testing and microscopy quality controls, escalating equipment faults so that clinic testing was not interrupted.</w:t>
      </w:r>
    </w:p>
    <w:p>
      <w:pPr>
        <w:spacing w:before="280" w:after="120"/>
        <w:jc w:val="left"/>
        <w:pBdr>
          <w:bottom w:val="single" w:sz="6" w:space="4" w:color="DFDED8"/>
        </w:pBdr>
      </w:pPr>
      <w:r>
        <w:rPr>
          <w:b/>
          <w:color w:val="2F62D9"/>
          <w:sz w:val="22"/>
        </w:rPr>
        <w:t>EDUCATION</w:t>
      </w:r>
    </w:p>
    <w:p>
      <w:pPr>
        <w:spacing w:before="0" w:after="200"/>
        <w:jc w:val="left"/>
      </w:pPr>
      <w:r>
        <w:t>Medical degree (MBBS or MD) followed by internship and prevocational hospital training, then RACP basic training and advanced training in sexual health medicine through the Australasian Chapter of Sexual Health Medicine, leading to fellowship (FRACP). Some physicians enter the field through RACGP fellowship with additional sexual health training and qualifications.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