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Shipbroker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Shipbroker with experience in dry bulk chartering and sale and purchase, comfortable negotiating fixtures in fast moving markets. Skilled in voyage estimating, freight rate analysis and charter party preparation, with a strong network across Australian and Asian shipping routes. Works closely with shipowners and charterers to keep deals moving from enquiry to completion.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Financial analysis and modelling   •   Economic modelling   •   Operations management   •   Veson IMOS   •   Clarksons   •   Bloomberg Terminal   •   Microsoft Excel   •   Salesforce   •   Client relationships and advisory   •   Stakeholder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Shipbroker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Negotiated charter rates and terms for Handysize and Supramax vessels, securing fixtures that kept fleet utilisation high during seasonal peaks.</w:t>
      </w:r>
    </w:p>
    <w:p>
      <w:pPr>
        <w:pStyle w:val="ListBullet"/>
        <w:spacing w:after="80" w:line="276" w:lineRule="auto"/>
      </w:pPr>
      <w:r>
        <w:t>Arranged cargo fixtures and voyage estimates for agricultural and steel cargoes, working with port agents to reduce turnaround delays.</w:t>
      </w:r>
    </w:p>
    <w:p>
      <w:pPr>
        <w:pStyle w:val="ListBullet"/>
        <w:spacing w:after="80" w:line="276" w:lineRule="auto"/>
      </w:pPr>
      <w:r>
        <w:t>Conducted market research and freight rate analysis, producing daily reports that helped clients time their chartering decisions.</w:t>
      </w:r>
    </w:p>
    <w:p>
      <w:pPr>
        <w:pStyle w:val="ListBullet"/>
        <w:spacing w:after="80" w:line="276" w:lineRule="auto"/>
      </w:pPr>
      <w:r>
        <w:t>Managed relationships with shipowners, charterers and brokers across Asia-Pacific, resolving disputes early to maintain repeat business.</w:t>
      </w:r>
    </w:p>
    <w:p>
      <w:pPr>
        <w:pStyle w:val="ListBullet"/>
        <w:spacing w:after="240" w:line="276" w:lineRule="auto"/>
      </w:pPr>
      <w:r>
        <w:t>Prepared charter parties and supporting documentation, coordinating with legal and operations teams to close fixtures on schedule.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maritime business, commerce, economics or logistics is typical; some shipbrokers also complete postgraduate study or professional qualifications through the Institute of Chartered Shipbrokers.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