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Social Security Assessor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Social Security Assessor with experience applying social security law and departmental guidelines to determine eligibility for income support payments. Skilled in interviewing applicants, calculating payment rates and debts, and explaining outcomes with empathy and clarity. Committed to accurate, timely decisions that support Australians in need.</w:t>
      </w:r>
    </w:p>
    <w:p>
      <w:pPr>
        <w:spacing w:before="280" w:after="120"/>
        <w:jc w:val="left"/>
        <w:pBdr>
          <w:bottom w:val="single" w:sz="6" w:space="4" w:color="DFDED8"/>
        </w:pBdr>
      </w:pPr>
      <w:r>
        <w:rPr>
          <w:b/>
          <w:color w:val="2F62D9"/>
          <w:sz w:val="22"/>
        </w:rPr>
        <w:t>KEY SKILLS</w:t>
      </w:r>
    </w:p>
    <w:p>
      <w:pPr>
        <w:spacing w:before="0" w:after="200"/>
        <w:jc w:val="left"/>
      </w:pPr>
      <w:r>
        <w:t>Regulatory compliance   •   Casework and client support   •   Customer First   •   Process Direct   •   Income Security Integrated System (ISIS)   •   Microsoft Office   •   myGov   •   Client relationships and advisory   •   Written communication   •   Attention to detail   •   Problem solving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Social Security Assessor</w:t>
      </w:r>
      <w:r>
        <w:t>, [Company Name], [City]</w:t>
      </w:r>
      <w:r>
        <w:rPr>
          <w:i/>
        </w:rPr>
        <w:tab/>
        <w:t>[Month Year] – [Month Year / Present]</w:t>
      </w:r>
    </w:p>
    <w:p>
      <w:pPr>
        <w:pStyle w:val="ListBullet"/>
        <w:spacing w:after="80" w:line="276" w:lineRule="auto"/>
      </w:pPr>
      <w:r>
        <w:t>Interviewed applicants to establish their circumstances, income and entitlements, resolving complex eligibility issues on the spot and reducing the need for follow-up contact.</w:t>
      </w:r>
    </w:p>
    <w:p>
      <w:pPr>
        <w:pStyle w:val="ListBullet"/>
        <w:spacing w:after="80" w:line="276" w:lineRule="auto"/>
      </w:pPr>
      <w:r>
        <w:t>Assessed claims against social security legislation and departmental guidelines, consistently meeting accuracy benchmarks and contributing to a high-performing team.</w:t>
      </w:r>
    </w:p>
    <w:p>
      <w:pPr>
        <w:pStyle w:val="ListBullet"/>
        <w:spacing w:after="80" w:line="276" w:lineRule="auto"/>
      </w:pPr>
      <w:r>
        <w:t>Calculated payment rates, arrears and debts using ISIS and Process Direct, clearing a daily backlog of claims to keep processing times within departmental targets.</w:t>
      </w:r>
    </w:p>
    <w:p>
      <w:pPr>
        <w:pStyle w:val="ListBullet"/>
        <w:spacing w:after="80" w:line="276" w:lineRule="auto"/>
      </w:pPr>
      <w:r>
        <w:t>Corresponded with clients about decisions, reviews and appeal rights, explaining outcomes in plain language and maintaining a client satisfaction rating above target.</w:t>
      </w:r>
    </w:p>
    <w:p>
      <w:pPr>
        <w:pStyle w:val="ListBullet"/>
        <w:spacing w:after="240" w:line="276" w:lineRule="auto"/>
      </w:pPr>
      <w:r>
        <w:t>Referred clients to employment, housing, health and community support services, improving outcomes for vulnerable applicants and reducing repeat contact.</w:t>
      </w:r>
    </w:p>
    <w:p>
      <w:pPr>
        <w:spacing w:before="280" w:after="120"/>
        <w:jc w:val="left"/>
        <w:pBdr>
          <w:bottom w:val="single" w:sz="6" w:space="4" w:color="DFDED8"/>
        </w:pBdr>
      </w:pPr>
      <w:r>
        <w:rPr>
          <w:b/>
          <w:color w:val="2F62D9"/>
          <w:sz w:val="22"/>
        </w:rPr>
        <w:t>EDUCATION</w:t>
      </w:r>
    </w:p>
    <w:p>
      <w:pPr>
        <w:spacing w:before="0" w:after="200"/>
        <w:jc w:val="left"/>
      </w:pPr>
      <w:r>
        <w:t>Year 12 or equivalent, with on-the-job training through Services Australia. A Certificate III or IV in Government or Community Services is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