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Social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Social worker experienced in client assessment, care planning and service coordination across health, welfare and community settings. Comfortable managing crisis situations and complex caseloads while maintaining accurate documentation and working within statutory and ethical frameworks. Committed to client-centred practice consistent with the AASW Code of Ethics.</w:t>
      </w:r>
    </w:p>
    <w:p>
      <w:pPr>
        <w:spacing w:before="280" w:after="120"/>
        <w:jc w:val="left"/>
        <w:pBdr>
          <w:bottom w:val="single" w:sz="6" w:space="4" w:color="DFDED8"/>
        </w:pBdr>
      </w:pPr>
      <w:r>
        <w:rPr>
          <w:b/>
          <w:color w:val="2F62D9"/>
          <w:sz w:val="22"/>
        </w:rPr>
        <w:t>KEY SKILLS</w:t>
      </w:r>
    </w:p>
    <w:p>
      <w:pPr>
        <w:spacing w:before="0" w:after="200"/>
        <w:jc w:val="left"/>
      </w:pPr>
      <w:r>
        <w:t>Casework and client support   •   Counselling and support work   •   Risk assessment frameworks   •   Care planning and review   •   Community engagement   •   Case management software (e.g. SmartyGrants, Mosaic)   •   Regulatory compliance   •   Stakeholder management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Social Worker</w:t>
      </w:r>
      <w:r>
        <w:t>, [Company Name], [City]</w:t>
      </w:r>
      <w:r>
        <w:rPr>
          <w:i/>
        </w:rPr>
        <w:tab/>
        <w:t>[Month Year] – [Month Year / Present]</w:t>
      </w:r>
    </w:p>
    <w:p>
      <w:pPr>
        <w:pStyle w:val="ListBullet"/>
        <w:spacing w:after="80" w:line="276" w:lineRule="auto"/>
      </w:pPr>
      <w:r>
        <w:t>Conducted comprehensive assessments of client circumstances, risks and strengths to inform individualised care plans across a mixed caseload</w:t>
      </w:r>
    </w:p>
    <w:p>
      <w:pPr>
        <w:pStyle w:val="ListBullet"/>
        <w:spacing w:after="80" w:line="276" w:lineRule="auto"/>
      </w:pPr>
      <w:r>
        <w:t>Coordinated referrals across health, education and welfare agencies, helping clients move between services without gaps in support</w:t>
      </w:r>
    </w:p>
    <w:p>
      <w:pPr>
        <w:pStyle w:val="ListBullet"/>
        <w:spacing w:after="80" w:line="276" w:lineRule="auto"/>
      </w:pPr>
      <w:r>
        <w:t>Developed and reviewed care and support plans in line with statutory requirements, keeping documentation to a standard suitable for audit or court review</w:t>
      </w:r>
    </w:p>
    <w:p>
      <w:pPr>
        <w:pStyle w:val="ListBullet"/>
        <w:spacing w:after="80" w:line="276" w:lineRule="auto"/>
      </w:pPr>
      <w:r>
        <w:t>Provided crisis support and after-hours response to clients facing family violence, homelessness or acute mental health need</w:t>
      </w:r>
    </w:p>
    <w:p>
      <w:pPr>
        <w:pStyle w:val="ListBullet"/>
        <w:spacing w:after="240" w:line="276" w:lineRule="auto"/>
      </w:pPr>
      <w:r>
        <w:t>Maintained detailed case notes in client management databases, supporting accurate reporting on client outcomes to funding bodies</w:t>
      </w:r>
    </w:p>
    <w:p>
      <w:pPr>
        <w:spacing w:before="280" w:after="120"/>
        <w:jc w:val="left"/>
        <w:pBdr>
          <w:bottom w:val="single" w:sz="6" w:space="4" w:color="DFDED8"/>
        </w:pBdr>
      </w:pPr>
      <w:r>
        <w:rPr>
          <w:b/>
          <w:color w:val="2F62D9"/>
          <w:sz w:val="22"/>
        </w:rPr>
        <w:t>EDUCATION</w:t>
      </w:r>
    </w:p>
    <w:p>
      <w:pPr>
        <w:spacing w:before="0" w:after="200"/>
        <w:jc w:val="left"/>
      </w:pPr>
      <w:r>
        <w:t>Bachelor of Social Work (AASW-accredited) is the standard entry qualification, with many practitioners going on to postgraduate study for clinical or specialist roles. AASW membership, a Working with Children Check and, in most jurisdictions, a National Police Check are required to practise.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