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Sociologist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Sociologist who designs and delivers social research that governments, universities and community organisations use to make decisions. Comfortable across qualitative and quantitative methods, from survey design and in-depth interviews to statistical analysis and policy briefing. Known for turning complex findings into clear, practical advice for non-research audiences.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Social research design and methodology   •   Qualitative and quantitative data analysis   •   Statistical modelling and survey analysis   •   Policy analysis and advice   •   Community engagement and consultation   •   Program evaluation   •   SPSS   •   R   •   NVivo   •   Stata   •   Qualtrics   •   Data storytelling and presenting findings   •   Stakeholder management   •   Written communication for policy and academic audiences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Sociologist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conducted a mixed-methods study into housing stress across three local government areas, combining a survey of 600 residents with 35 in-depth interviews.</w:t>
      </w:r>
    </w:p>
    <w:p>
      <w:pPr>
        <w:pStyle w:val="ListBullet"/>
        <w:spacing w:after="80" w:line="276" w:lineRule="auto"/>
      </w:pPr>
      <w:r>
        <w:t>Analysed Australian Bureau of Statistics census data in R to map patterns of disadvantage, producing briefings used by council and community stakeholders to set service priorities.</w:t>
      </w:r>
    </w:p>
    <w:p>
      <w:pPr>
        <w:pStyle w:val="ListBullet"/>
        <w:spacing w:after="80" w:line="276" w:lineRule="auto"/>
      </w:pPr>
      <w:r>
        <w:t>Coded and thematically analysed interview transcripts in NVivo, delivering a report that informed the redesign of a family support program.</w:t>
      </w:r>
    </w:p>
    <w:p>
      <w:pPr>
        <w:pStyle w:val="ListBullet"/>
        <w:spacing w:after="80" w:line="276" w:lineRule="auto"/>
      </w:pPr>
      <w:r>
        <w:t>Evaluated a community health initiative by comparing pre and post survey data in Stata and presenting recommendations to the funding body.</w:t>
      </w:r>
    </w:p>
    <w:p>
      <w:pPr>
        <w:pStyle w:val="ListBullet"/>
        <w:spacing w:after="80" w:line="276" w:lineRule="auto"/>
      </w:pPr>
      <w:r>
        <w:t>Translated research evidence into plain-language policy options for a government department, covering social housing and neighbourhood renewal.</w:t>
      </w:r>
    </w:p>
    <w:p>
      <w:pPr>
        <w:pStyle w:val="ListBullet"/>
        <w:spacing w:after="240" w:line="276" w:lineRule="auto"/>
      </w:pPr>
      <w:r>
        <w:t>Ran community consultation sessions with culturally diverse groups, raising participation from 25 to 60 attendees across a consultation round by changing venue, timing and outreach.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sociology or a related social science; honours or a postgraduate qualification in sociology or social research is common for research, policy and academic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