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Solicitor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Solicitor with experience drafting contracts, advising clients on their rights and obligations, and managing matters from instruction through to resolution. Comfortable balancing conveyancing, dispute support and regulatory compliance work under tight court and settlement deadlines. Known for clear client communication and careful attention to documentary detail.</w:t>
      </w:r>
    </w:p>
    <w:p>
      <w:pPr>
        <w:spacing w:before="280" w:after="120"/>
        <w:jc w:val="left"/>
        <w:pBdr>
          <w:bottom w:val="single" w:sz="6" w:space="4" w:color="DFDED8"/>
        </w:pBdr>
      </w:pPr>
      <w:r>
        <w:rPr>
          <w:b/>
          <w:color w:val="2F62D9"/>
          <w:sz w:val="22"/>
        </w:rPr>
        <w:t>KEY SKILLS</w:t>
      </w:r>
    </w:p>
    <w:p>
      <w:pPr>
        <w:spacing w:before="0" w:after="200"/>
        <w:jc w:val="left"/>
      </w:pPr>
      <w:r>
        <w:t>Legal research   •   Drafting and contracts   •   Litigation and dispute support   •   Regulatory compliance   •   Conveyancing and property settlements   •   LawWorks practice management software   •   Westlaw and LexisNexis research databases   •   DocuSign / Adobe Sign   •   Microsoft Word and Excel   •   Stakeholder and client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Solicitor</w:t>
      </w:r>
      <w:r>
        <w:t>, [Company Name], [City]</w:t>
      </w:r>
      <w:r>
        <w:rPr>
          <w:i/>
        </w:rPr>
        <w:tab/>
        <w:t>[Month Year] – [Month Year / Present]</w:t>
      </w:r>
    </w:p>
    <w:p>
      <w:pPr>
        <w:pStyle w:val="ListBullet"/>
        <w:spacing w:after="80" w:line="276" w:lineRule="auto"/>
      </w:pPr>
      <w:r>
        <w:t>Drafted and reviewed contracts and agreements for clients across commercial and property matters, reducing turnaround time on standard document sets</w:t>
      </w:r>
    </w:p>
    <w:p>
      <w:pPr>
        <w:pStyle w:val="ListBullet"/>
        <w:spacing w:after="80" w:line="276" w:lineRule="auto"/>
      </w:pPr>
      <w:r>
        <w:t>Advised clients on legal rights, obligations and dispute resolution options, translating complex legislation into plain-language guidance</w:t>
      </w:r>
    </w:p>
    <w:p>
      <w:pPr>
        <w:pStyle w:val="ListBullet"/>
        <w:spacing w:after="80" w:line="276" w:lineRule="auto"/>
      </w:pPr>
      <w:r>
        <w:t>Managed conveyancing files from instruction to settlement, coordinating with banks, agents and other solicitors to meet settlement dates</w:t>
      </w:r>
    </w:p>
    <w:p>
      <w:pPr>
        <w:pStyle w:val="ListBullet"/>
        <w:spacing w:after="80" w:line="276" w:lineRule="auto"/>
      </w:pPr>
      <w:r>
        <w:t>Conducted legal research across case law and legislation to support advice and court submissions, using Westlaw and LexisNexis</w:t>
      </w:r>
    </w:p>
    <w:p>
      <w:pPr>
        <w:pStyle w:val="ListBullet"/>
        <w:spacing w:after="240" w:line="276" w:lineRule="auto"/>
      </w:pPr>
      <w:r>
        <w:t>Liaised with courts, opposing counsel and third parties to progress litigation matters and keep clients informed of case status</w:t>
      </w:r>
    </w:p>
    <w:p>
      <w:pPr>
        <w:spacing w:before="280" w:after="120"/>
        <w:jc w:val="left"/>
        <w:pBdr>
          <w:bottom w:val="single" w:sz="6" w:space="4" w:color="DFDED8"/>
        </w:pBdr>
      </w:pPr>
      <w:r>
        <w:rPr>
          <w:b/>
          <w:color w:val="2F62D9"/>
          <w:sz w:val="22"/>
        </w:rPr>
        <w:t>EDUCATION</w:t>
      </w:r>
    </w:p>
    <w:p>
      <w:pPr>
        <w:spacing w:before="0" w:after="200"/>
        <w:jc w:val="left"/>
      </w:pPr>
      <w:r>
        <w:t>Bachelor of Laws (LLB) or Juris Doctor (JD), completion of Practical Legal Training (PLT), and admission as a solicitor of the Supreme Court in the relevant state or territory, followed by an annual practising certificate issued by the state Law Society or Legal Practice Board.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