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Special Education Teacher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Special education teacher experienced in adapting curriculum and designing individualised learning programs for students with physical, sensory, cognitive, emotional or behavioural disabilities. Comfortable collaborating with allied health professionals, families and school leadership to build inclusive classrooms. Focused on tracking progress against personal learning goals and supporting student wellbeing.</w:t>
      </w:r>
    </w:p>
    <w:p>
      <w:pPr>
        <w:spacing w:before="280" w:after="120"/>
        <w:jc w:val="left"/>
        <w:pBdr>
          <w:bottom w:val="single" w:sz="6" w:space="4" w:color="DFDED8"/>
        </w:pBdr>
      </w:pPr>
      <w:r>
        <w:rPr>
          <w:b/>
          <w:color w:val="2F62D9"/>
          <w:sz w:val="22"/>
        </w:rPr>
        <w:t>KEY SKILLS</w:t>
      </w:r>
    </w:p>
    <w:p>
      <w:pPr>
        <w:spacing w:before="0" w:after="200"/>
        <w:jc w:val="left"/>
      </w:pPr>
      <w:r>
        <w:t>Curriculum and lesson design   •   Classroom and behaviour management   •   Student assessment and reporting   •   Individual Education Plan (IEP) development   •   Pastoral care and wellbeing support   •   AAC devices and assistive technology   •   Google Classroom and learning management systems   •   Microsoft Excel for progress tracking   •   Empathy and interpersonal care</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Special Education Teacher</w:t>
      </w:r>
      <w:r>
        <w:t>, [Company Name], [City]</w:t>
      </w:r>
      <w:r>
        <w:rPr>
          <w:i/>
        </w:rPr>
        <w:tab/>
        <w:t>[Month Year] – [Month Year / Present]</w:t>
      </w:r>
    </w:p>
    <w:p>
      <w:pPr>
        <w:pStyle w:val="ListBullet"/>
        <w:spacing w:after="80" w:line="276" w:lineRule="auto"/>
      </w:pPr>
      <w:r>
        <w:t>Designed differentiated lesson plans and materials for students with a range of physical, sensory and cognitive disabilities, adapting mainstream curriculum content to individual learning goals</w:t>
      </w:r>
    </w:p>
    <w:p>
      <w:pPr>
        <w:pStyle w:val="ListBullet"/>
        <w:spacing w:after="80" w:line="276" w:lineRule="auto"/>
      </w:pPr>
      <w:r>
        <w:t>Developed and monitored Individual Education Plans for a caseload of students, documenting progress against personal goals each term and adjusting strategies where targets weren't being met</w:t>
      </w:r>
    </w:p>
    <w:p>
      <w:pPr>
        <w:pStyle w:val="ListBullet"/>
        <w:spacing w:after="80" w:line="276" w:lineRule="auto"/>
      </w:pPr>
      <w:r>
        <w:t>Implemented behaviour support strategies in the classroom, reducing escalation incidents and improving students' time on task</w:t>
      </w:r>
    </w:p>
    <w:p>
      <w:pPr>
        <w:pStyle w:val="ListBullet"/>
        <w:spacing w:after="80" w:line="276" w:lineRule="auto"/>
      </w:pPr>
      <w:r>
        <w:t>Coordinated with parents, school leadership and allied health professionals including speech pathologists and occupational therapists to align classroom support with therapy goals</w:t>
      </w:r>
    </w:p>
    <w:p>
      <w:pPr>
        <w:pStyle w:val="ListBullet"/>
        <w:spacing w:after="240" w:line="276" w:lineRule="auto"/>
      </w:pPr>
      <w:r>
        <w:t>Introduced and trained staff on AAC devices for non-verbal students, increasing their participation in classroom discussion and peer interaction</w:t>
      </w:r>
    </w:p>
    <w:p>
      <w:pPr>
        <w:spacing w:before="280" w:after="120"/>
        <w:jc w:val="left"/>
        <w:pBdr>
          <w:bottom w:val="single" w:sz="6" w:space="4" w:color="DFDED8"/>
        </w:pBdr>
      </w:pPr>
      <w:r>
        <w:rPr>
          <w:b/>
          <w:color w:val="2F62D9"/>
          <w:sz w:val="22"/>
        </w:rPr>
        <w:t>EDUCATION</w:t>
      </w:r>
    </w:p>
    <w:p>
      <w:pPr>
        <w:spacing w:before="0" w:after="200"/>
        <w:jc w:val="left"/>
      </w:pPr>
      <w:r>
        <w:t>Bachelor of Education (Special Education), or a Bachelor of Education followed by a Graduate Diploma or Master's in Special Education, together with full teacher registration through the relevant state or territory authority (VIT, NESA, QCT, TQA or equivalent).</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