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Stockbroker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Stockbroker with a track record of executing trades across ASX and international markets while managing client portfolios against benchmark performance. Comfortable analysing market data under time pressure and translating it into clear investment recommendations. Works within ASIC and AFS licensing requirements as a matter of routine, not an afterthought.</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Investment and financial advice   •   Portfolio management and benchmarking   •   Risk and internal controls   •   Data analysis   •   Bloomberg Terminal   •   FactSet   •   ASX Trading Platform   •   CRM systems   •   Client relationships and advisory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Stockbroker</w:t>
      </w:r>
      <w:r>
        <w:t>, [Company Name], [City]</w:t>
      </w:r>
      <w:r>
        <w:rPr>
          <w:i/>
        </w:rPr>
        <w:tab/>
        <w:t>[Month Year] – [Month Year / Present]</w:t>
      </w:r>
    </w:p>
    <w:p>
      <w:pPr>
        <w:pStyle w:val="ListBullet"/>
        <w:spacing w:after="80" w:line="276" w:lineRule="auto"/>
      </w:pPr>
      <w:r>
        <w:t>Executed buy and sell orders for shares and securities across ASX and select international exchanges within tight settlement windows</w:t>
      </w:r>
    </w:p>
    <w:p>
      <w:pPr>
        <w:pStyle w:val="ListBullet"/>
        <w:spacing w:after="80" w:line="276" w:lineRule="auto"/>
      </w:pPr>
      <w:r>
        <w:t>Analysed market trends and economic data to brief clients on investment opportunities, supporting portfolio decisions across a mixed client book</w:t>
      </w:r>
    </w:p>
    <w:p>
      <w:pPr>
        <w:pStyle w:val="ListBullet"/>
        <w:spacing w:after="80" w:line="276" w:lineRule="auto"/>
      </w:pPr>
      <w:r>
        <w:t>Managed client portfolios and monitored position performance against benchmarks, flagging underperforming holdings for review</w:t>
      </w:r>
    </w:p>
    <w:p>
      <w:pPr>
        <w:pStyle w:val="ListBullet"/>
        <w:spacing w:after="80" w:line="276" w:lineRule="auto"/>
      </w:pPr>
      <w:r>
        <w:t>Maintained compliance with ASIC regulations and AFS licensing conditions, keeping trade and advice records audit-ready</w:t>
      </w:r>
    </w:p>
    <w:p>
      <w:pPr>
        <w:pStyle w:val="ListBullet"/>
        <w:spacing w:after="80" w:line="276" w:lineRule="auto"/>
      </w:pPr>
      <w:r>
        <w:t>Conducted regular portfolio reviews and reporting for clients, improving retention through consistent, transparent communication</w:t>
      </w:r>
    </w:p>
    <w:p>
      <w:pPr>
        <w:pStyle w:val="ListBullet"/>
        <w:spacing w:after="240" w:line="276" w:lineRule="auto"/>
      </w:pPr>
      <w:r>
        <w:t>Built relationships with new and existing clients, growing assets under advice through referrals and repeat business</w:t>
      </w:r>
    </w:p>
    <w:p>
      <w:pPr>
        <w:spacing w:before="280" w:after="120"/>
        <w:jc w:val="left"/>
        <w:pBdr>
          <w:bottom w:val="single" w:sz="6" w:space="4" w:color="DFDED8"/>
        </w:pBdr>
      </w:pPr>
      <w:r>
        <w:rPr>
          <w:b/>
          <w:color w:val="2F62D9"/>
          <w:sz w:val="22"/>
        </w:rPr>
        <w:t>EDUCATION</w:t>
      </w:r>
    </w:p>
    <w:p>
      <w:pPr>
        <w:spacing w:before="0" w:after="200"/>
        <w:jc w:val="left"/>
      </w:pPr>
      <w:r>
        <w:t>Bachelor degree in finance, commerce or economics, plus RG146 compliance training and registration as an Authorised Representative under an AFS licence; many brokers add a postgraduate qualification such as a CFA or Master of Finance as they progress.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