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Strength and Conditioning Coach</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Strength and conditioning coach with experience preparing athletes across team and individual sports. Skilled in designing periodised programs, running testing and monitoring load, and working alongside medical and coaching staff to keep athletes available and performing.</w:t>
      </w:r>
    </w:p>
    <w:p>
      <w:pPr>
        <w:spacing w:before="280" w:after="120"/>
        <w:jc w:val="left"/>
        <w:pBdr>
          <w:bottom w:val="single" w:sz="6" w:space="4" w:color="DFDED8"/>
        </w:pBdr>
      </w:pPr>
      <w:r>
        <w:rPr>
          <w:b/>
          <w:color w:val="2F62D9"/>
          <w:sz w:val="22"/>
        </w:rPr>
        <w:t>KEY SKILLS</w:t>
      </w:r>
    </w:p>
    <w:p>
      <w:pPr>
        <w:spacing w:before="0" w:after="200"/>
        <w:jc w:val="left"/>
      </w:pPr>
      <w:r>
        <w:t>Periodised program design   •   Speed, power and plyometric coaching   •   Athlete testing and movement screening   •   Training load monitoring and data analysis   •   Return-to-play collaboration with physiotherapists   •   Fitness coaching and instruction   •   Teaching and instruction   •   VALD ForceDecks   •   Catapult GPS   •   NordBord   •   TeamBuildr   •   Microsoft Excel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Strength and Conditioning Coach</w:t>
      </w:r>
      <w:r>
        <w:t>, [Company Name], [City]</w:t>
      </w:r>
      <w:r>
        <w:rPr>
          <w:i/>
        </w:rPr>
        <w:tab/>
        <w:t>[Month Year] – [Month Year / Present]</w:t>
      </w:r>
    </w:p>
    <w:p>
      <w:pPr>
        <w:pStyle w:val="ListBullet"/>
        <w:spacing w:after="80" w:line="276" w:lineRule="auto"/>
      </w:pPr>
      <w:r>
        <w:t>Designed and delivered a 16-week pre-season strength and conditioning block for a squad of 30 athletes, lifting average squat and bench press scores across the group.</w:t>
      </w:r>
    </w:p>
    <w:p>
      <w:pPr>
        <w:pStyle w:val="ListBullet"/>
        <w:spacing w:after="80" w:line="276" w:lineRule="auto"/>
      </w:pPr>
      <w:r>
        <w:t>Ran weekly speed and plyometric sessions that improved linear acceleration times over 10 and 20 metres for the majority of the playing group.</w:t>
      </w:r>
    </w:p>
    <w:p>
      <w:pPr>
        <w:pStyle w:val="ListBullet"/>
        <w:spacing w:after="80" w:line="276" w:lineRule="auto"/>
      </w:pPr>
      <w:r>
        <w:t>Monitored daily GPS and wellness data for a football squad, flagging players with elevated load or low readiness and adjusting sessions before training.</w:t>
      </w:r>
    </w:p>
    <w:p>
      <w:pPr>
        <w:pStyle w:val="ListBullet"/>
        <w:spacing w:after="80" w:line="276" w:lineRule="auto"/>
      </w:pPr>
      <w:r>
        <w:t>Conducted pre-season screening and force plate testing using VALD ForceDecks, producing individual reports that guided program changes for each athlete.</w:t>
      </w:r>
    </w:p>
    <w:p>
      <w:pPr>
        <w:pStyle w:val="ListBullet"/>
        <w:spacing w:after="80" w:line="276" w:lineRule="auto"/>
      </w:pPr>
      <w:r>
        <w:t>Worked with the physiotherapist and head coach to build return-to-play progressions for injured players, returning them to full training without a re-injury setback.</w:t>
      </w:r>
    </w:p>
    <w:p>
      <w:pPr>
        <w:pStyle w:val="ListBullet"/>
        <w:spacing w:after="240" w:line="276" w:lineRule="auto"/>
      </w:pPr>
      <w:r>
        <w:t>Coached a school-based athlete group twice weekly, tracking attendance and testing results to keep the program aligned with the season calendar.</w:t>
      </w:r>
    </w:p>
    <w:p>
      <w:pPr>
        <w:spacing w:before="280" w:after="120"/>
        <w:jc w:val="left"/>
        <w:pBdr>
          <w:bottom w:val="single" w:sz="6" w:space="4" w:color="DFDED8"/>
        </w:pBdr>
      </w:pPr>
      <w:r>
        <w:rPr>
          <w:b/>
          <w:color w:val="2F62D9"/>
          <w:sz w:val="22"/>
        </w:rPr>
        <w:t>EDUCATION</w:t>
      </w:r>
    </w:p>
    <w:p>
      <w:pPr>
        <w:spacing w:before="0" w:after="200"/>
        <w:jc w:val="left"/>
      </w:pPr>
      <w:r>
        <w:t>Bachelor of Exercise and Sport Science, plus Australian Strength and Conditioning Association (ASCA) Level 1 or 2 accreditation. Some coaches enter through a Diploma of Fitness or Certificate IV in Fitness and build accreditation while working in the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