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Structural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Structural Engineer with experience turning architectural concepts into safe, code-compliant designs for buildings and infrastructure. Comfortable running load calculations and finite-element models, then carrying that analysis through to construction-ready drawings and specifications. Works well with architects, project managers and site teams to resolve design conflicts before they become costly on 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Load calculations and finite-element modelling   •   CAD and technical drawing   •   Building codes and standards (NCC, AS/NZS)   •   Project engineering and delivery   •   SAP2000   •   ETABS   •   AutoCAD   •   Revit   •   MathCAD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Structural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load calculations and stress analysis in SAP2000 and ETABS for multi-storey building frames, confirming compliance with relevant AS/NZS structural standards before documentation was issued</w:t>
      </w:r>
    </w:p>
    <w:p>
      <w:pPr>
        <w:pStyle w:val="ListBullet"/>
        <w:spacing w:after="80" w:line="276" w:lineRule="auto"/>
      </w:pPr>
      <w:r>
        <w:t>Produced structural drawings and specifications in AutoCAD and Revit for construction teams, reducing the number of RFIs raised at tender stage</w:t>
      </w:r>
    </w:p>
    <w:p>
      <w:pPr>
        <w:pStyle w:val="ListBullet"/>
        <w:spacing w:after="80" w:line="276" w:lineRule="auto"/>
      </w:pPr>
      <w:r>
        <w:t>Reviewed geotechnical reports and site conditions to inform footing and foundation design on residential and commercial projects</w:t>
      </w:r>
    </w:p>
    <w:p>
      <w:pPr>
        <w:pStyle w:val="ListBullet"/>
        <w:spacing w:after="80" w:line="276" w:lineRule="auto"/>
      </w:pPr>
      <w:r>
        <w:t>Inspected structural milestones on site, signing off on frame and slab work and tracking defect rectification through to close-out</w:t>
      </w:r>
    </w:p>
    <w:p>
      <w:pPr>
        <w:pStyle w:val="ListBullet"/>
        <w:spacing w:after="240" w:line="276" w:lineRule="auto"/>
      </w:pPr>
      <w:r>
        <w:t>Collaborated with architects and services engineers to resolve clashes between structural elements and building services, cutting rework during construction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(Honours) in Civil or Structural Engineering, accredited by Engineers Australia, typically followed by registration on the National Engineering Register (NER) and progress toward Chartered (CPEng) status.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