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Surgeon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Surgeon with advanced training through the Royal Australasian College of Surgeons, experienced in pre-operative assessment, complex operative procedures and perioperative care across multidisciplinary hospital teams. Comfortable managing intra-operative complications and adapting technique under pressure while maintaining clear documentation for clinical audit. Registered with the Medical Board of Australia and committed to ongoing peer review and quality improvement.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Clinical assessment and treatment planning   •   Pre- and post-operative patient care   •   Sterile surgical technique   •   Care planning and coordination with multidisciplinary teams   •   Medication management   •   Imaging interpretation (CT, MRI, ultrasound)   •   Laparoscopic and robotic surgical platforms   •   Electronic health records (EHR) documentation   •   Surgical instrumentation and operating theatre equipment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Surgeon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Assessed patients pre-operatively and interpreted CT, MRI and ultrasound imaging to plan surgical approach and identify risk factors before theatre</w:t>
      </w:r>
    </w:p>
    <w:p>
      <w:pPr>
        <w:pStyle w:val="ListBullet"/>
        <w:spacing w:after="80" w:line="276" w:lineRule="auto"/>
      </w:pPr>
      <w:r>
        <w:t>Performed elective and emergency surgical procedures using sterile technique and theatre equipment, adapting approach in response to intra-operative findings</w:t>
      </w:r>
    </w:p>
    <w:p>
      <w:pPr>
        <w:pStyle w:val="ListBullet"/>
        <w:spacing w:after="80" w:line="276" w:lineRule="auto"/>
      </w:pPr>
      <w:r>
        <w:t>Managed intra-operative complications in coordination with anaesthetists and surgical nursing staff, adjusting technique to stabilise patient outcomes</w:t>
      </w:r>
    </w:p>
    <w:p>
      <w:pPr>
        <w:pStyle w:val="ListBullet"/>
        <w:spacing w:after="80" w:line="276" w:lineRule="auto"/>
      </w:pPr>
      <w:r>
        <w:t>Provided post-operative care instructions and monitored recovery through inpatient review and outpatient follow-up, reducing avoidable readmissions through clear discharge planning</w:t>
      </w:r>
    </w:p>
    <w:p>
      <w:pPr>
        <w:pStyle w:val="ListBullet"/>
        <w:spacing w:after="240" w:line="276" w:lineRule="auto"/>
      </w:pPr>
      <w:r>
        <w:t>Maintained detailed surgical records and complication logs, contributing case data to clinical audit and departmental peer review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MBBS (or equivalent), pre-vocational hospital training, then Fellowship of the Royal Australasian College of Surgeons (FRACS) via the Surgical Education and Training (SET) program, with registration through the Medical Board of Australia (AHPRA).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