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Sustainability Consultant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Sustainability consultant with experience conducting environmental audits, carbon footprint assessments and ESG reporting across corporate and government clients. Comfortable translating regulatory requirements and climate risk data into practical strategies that operations teams can actually implement. Works across GRI and TCFD frameworks and carbon accounting platforms to turn compliance obligations into measurable environmental outcomes.</w:t>
      </w:r>
    </w:p>
    <w:p>
      <w:pPr>
        <w:spacing w:before="280" w:after="120"/>
        <w:jc w:val="left"/>
        <w:pBdr>
          <w:bottom w:val="single" w:sz="6" w:space="4" w:color="DFDED8"/>
        </w:pBdr>
      </w:pPr>
      <w:r>
        <w:rPr>
          <w:b/>
          <w:color w:val="2F62D9"/>
          <w:sz w:val="22"/>
        </w:rPr>
        <w:t>KEY SKILLS</w:t>
      </w:r>
    </w:p>
    <w:p>
      <w:pPr>
        <w:spacing w:before="0" w:after="200"/>
        <w:jc w:val="left"/>
      </w:pPr>
      <w:r>
        <w:t>Sustainability strategy development   •   Carbon footprint and life-cycle assessment (LCA)   •   GRI and TCFD reporting   •   Regulatory compliance and climate disclosure   •   Carbon accounting software (Sphera, Envirotech)   •   Geographic information systems (GIS)   •   Supply-chain risk analysis   •   Stakeholder management   •   Policy analysis and advice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Sustainability Consultant</w:t>
      </w:r>
      <w:r>
        <w:t>, [Company Name], [City]</w:t>
      </w:r>
      <w:r>
        <w:rPr>
          <w:i/>
        </w:rPr>
        <w:tab/>
        <w:t>[Month Year] – [Month Year / Present]</w:t>
      </w:r>
    </w:p>
    <w:p>
      <w:pPr>
        <w:pStyle w:val="ListBullet"/>
        <w:spacing w:after="80" w:line="276" w:lineRule="auto"/>
      </w:pPr>
      <w:r>
        <w:t>Conducted environmental audits and carbon footprint assessments across operational sites, identifying practical reduction measures for energy and water use</w:t>
      </w:r>
    </w:p>
    <w:p>
      <w:pPr>
        <w:pStyle w:val="ListBullet"/>
        <w:spacing w:after="80" w:line="276" w:lineRule="auto"/>
      </w:pPr>
      <w:r>
        <w:t>Developed sustainability strategies aligned with corporate targets and state and federal regulatory requirements, securing sign-off from executive stakeholders</w:t>
      </w:r>
    </w:p>
    <w:p>
      <w:pPr>
        <w:pStyle w:val="ListBullet"/>
        <w:spacing w:after="80" w:line="276" w:lineRule="auto"/>
      </w:pPr>
      <w:r>
        <w:t>Analysed supply-chain environmental and social risks, flagging suppliers requiring corrective action plans</w:t>
      </w:r>
    </w:p>
    <w:p>
      <w:pPr>
        <w:pStyle w:val="ListBullet"/>
        <w:spacing w:after="80" w:line="276" w:lineRule="auto"/>
      </w:pPr>
      <w:r>
        <w:t>Prepared ESG reports and climate disclosures against GRI and TCFD frameworks, meeting board and investor reporting deadlines</w:t>
      </w:r>
    </w:p>
    <w:p>
      <w:pPr>
        <w:pStyle w:val="ListBullet"/>
        <w:spacing w:after="80" w:line="276" w:lineRule="auto"/>
      </w:pPr>
      <w:r>
        <w:t>Advised on renewable energy transition and circular-economy initiatives, contributing to a measurable reduction in waste sent to landfill</w:t>
      </w:r>
    </w:p>
    <w:p>
      <w:pPr>
        <w:pStyle w:val="ListBullet"/>
        <w:spacing w:after="240" w:line="276" w:lineRule="auto"/>
      </w:pPr>
      <w:r>
        <w:t>Used carbon accounting software and life-cycle assessment tools to model emissions scenarios and support evidence-based recommendations</w:t>
      </w:r>
    </w:p>
    <w:p>
      <w:pPr>
        <w:spacing w:before="280" w:after="120"/>
        <w:jc w:val="left"/>
        <w:pBdr>
          <w:bottom w:val="single" w:sz="6" w:space="4" w:color="DFDED8"/>
        </w:pBdr>
      </w:pPr>
      <w:r>
        <w:rPr>
          <w:b/>
          <w:color w:val="2F62D9"/>
          <w:sz w:val="22"/>
        </w:rPr>
        <w:t>EDUCATION</w:t>
      </w:r>
    </w:p>
    <w:p>
      <w:pPr>
        <w:spacing w:before="0" w:after="200"/>
        <w:jc w:val="left"/>
      </w:pPr>
      <w:r>
        <w:t>Bachelor degree in environmental science, sustainability, engineering or a related field is the typical entry point, with a meaningful share of the workforce holding postgraduate qualifications in sustainability or environmental management; a GRI Certified Sustainability Professional credential or membership with a body such as the Governance Institute of Australia strengthens ESG reporting credibility.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