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Tax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Tax manager with experience leading compliance and planning across multiple entities. Skilled in preparing and reviewing company tax returns, managing ATO lodgements, and advising on the tax effects of transactions. Known for tracking legislative changes and briefing finance leaders on practical impacts.</w:t>
      </w:r>
    </w:p>
    <w:p>
      <w:pPr>
        <w:spacing w:before="280" w:after="120"/>
        <w:jc w:val="left"/>
        <w:pBdr>
          <w:bottom w:val="single" w:sz="6" w:space="4" w:color="DFDED8"/>
        </w:pBdr>
      </w:pPr>
      <w:r>
        <w:rPr>
          <w:b/>
          <w:color w:val="2F62D9"/>
          <w:sz w:val="22"/>
        </w:rPr>
        <w:t>KEY SKILLS</w:t>
      </w:r>
    </w:p>
    <w:p>
      <w:pPr>
        <w:spacing w:before="0" w:after="200"/>
        <w:jc w:val="left"/>
      </w:pPr>
      <w:r>
        <w:t>Tax compliance and planning   •   Financial reporting   •   Regulatory compliance   •   Risk and internal controls   •   MYOB AccountRight   •   Thomson Reuters Checkpoint   •   Microsoft Excel   •   ATO portals and systems   •   CCH Taxworks   •   People leadership   •   Stakeholder management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Tax Manager</w:t>
      </w:r>
      <w:r>
        <w:t>, [Company Name], [City]</w:t>
      </w:r>
      <w:r>
        <w:rPr>
          <w:i/>
        </w:rPr>
        <w:tab/>
        <w:t>[Month Year] – [Month Year / Present]</w:t>
      </w:r>
    </w:p>
    <w:p>
      <w:pPr>
        <w:pStyle w:val="ListBullet"/>
        <w:spacing w:after="80" w:line="276" w:lineRule="auto"/>
      </w:pPr>
      <w:r>
        <w:t>Led the preparation and review of company tax returns for a group of entities, ensuring lodgement through ATO portals by statutory deadlines.</w:t>
      </w:r>
    </w:p>
    <w:p>
      <w:pPr>
        <w:pStyle w:val="ListBullet"/>
        <w:spacing w:after="80" w:line="276" w:lineRule="auto"/>
      </w:pPr>
      <w:r>
        <w:t>Identified planning opportunities before year-end by reviewing tax positions across group entities, reducing the group's effective tax rate.</w:t>
      </w:r>
    </w:p>
    <w:p>
      <w:pPr>
        <w:pStyle w:val="ListBullet"/>
        <w:spacing w:after="80" w:line="276" w:lineRule="auto"/>
      </w:pPr>
      <w:r>
        <w:t>Supervised tax accountants and coordinated with external advisors on complex matters such as acquisitions and restructures.</w:t>
      </w:r>
    </w:p>
    <w:p>
      <w:pPr>
        <w:pStyle w:val="ListBullet"/>
        <w:spacing w:after="80" w:line="276" w:lineRule="auto"/>
      </w:pPr>
      <w:r>
        <w:t>Tracked changes to tax legislation and briefed finance leaders on impacts, enabling proactive adjustments to tax positions.</w:t>
      </w:r>
    </w:p>
    <w:p>
      <w:pPr>
        <w:pStyle w:val="ListBullet"/>
        <w:spacing w:after="240" w:line="276" w:lineRule="auto"/>
      </w:pPr>
      <w:r>
        <w:t>Managed tax audits and reviews by the ATO, providing documentation and resolving queries in a timely manner.</w:t>
      </w:r>
    </w:p>
    <w:p>
      <w:pPr>
        <w:spacing w:before="280" w:after="120"/>
        <w:jc w:val="left"/>
        <w:pBdr>
          <w:bottom w:val="single" w:sz="6" w:space="4" w:color="DFDED8"/>
        </w:pBdr>
      </w:pPr>
      <w:r>
        <w:rPr>
          <w:b/>
          <w:color w:val="2F62D9"/>
          <w:sz w:val="22"/>
        </w:rPr>
        <w:t>EDUCATION</w:t>
      </w:r>
    </w:p>
    <w:p>
      <w:pPr>
        <w:spacing w:before="0" w:after="200"/>
        <w:jc w:val="left"/>
      </w:pPr>
      <w:r>
        <w:t>Typical qualification is a bachelor degree in accounting or commerce, with many tax managers also completing CA or CPA and some undertaking postgraduate study in tax.</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