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Teacher of the Deaf</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Teacher of the Deaf with a background in inclusive education and language acquisition. Skilled in assessing communication needs and designing individualised programs that support spoken language, Auslan and literacy development. Committed to working alongside families, audiologists and speech pathologists to help students with hearing loss thrive in early intervention, primary and secondary settings.</w:t>
      </w:r>
    </w:p>
    <w:p>
      <w:pPr>
        <w:spacing w:before="280" w:after="120"/>
        <w:jc w:val="left"/>
        <w:pBdr>
          <w:bottom w:val="single" w:sz="6" w:space="4" w:color="DFDED8"/>
        </w:pBdr>
      </w:pPr>
      <w:r>
        <w:rPr>
          <w:b/>
          <w:color w:val="2F62D9"/>
          <w:sz w:val="22"/>
        </w:rPr>
        <w:t>KEY SKILLS</w:t>
      </w:r>
    </w:p>
    <w:p>
      <w:pPr>
        <w:spacing w:before="0" w:after="200"/>
        <w:jc w:val="left"/>
      </w:pPr>
      <w:r>
        <w:t>Teaching and instruction   •   Curriculum and lesson design   •   Student assessment and reporting   •   Classroom and behaviour management   •   Pastoral care and wellbeing   •   Auslan and spoken language teaching   •   Individual Learning Plan (ILP) development   •   Sound-field FM systems   •   Audiological testing equipment   •   Boardmaker   •   Seesaw   •   Microsoft Teams   •   Written communication   •   Empathy and interpersonal care   •   Digital literacy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Teacher of the Deaf</w:t>
      </w:r>
      <w:r>
        <w:t>, [Company Name], [City]</w:t>
      </w:r>
      <w:r>
        <w:rPr>
          <w:i/>
        </w:rPr>
        <w:tab/>
        <w:t>[Month Year] – [Month Year / Present]</w:t>
      </w:r>
    </w:p>
    <w:p>
      <w:pPr>
        <w:pStyle w:val="ListBullet"/>
        <w:spacing w:after="80" w:line="276" w:lineRule="auto"/>
      </w:pPr>
      <w:r>
        <w:t>Assessed students' hearing, language and communication needs using audiological testing equipment and classroom observation, refining individual learning plans that led to more consistent access to the curriculum.</w:t>
      </w:r>
    </w:p>
    <w:p>
      <w:pPr>
        <w:pStyle w:val="ListBullet"/>
        <w:spacing w:after="80" w:line="276" w:lineRule="auto"/>
      </w:pPr>
      <w:r>
        <w:t>Designed and delivered individualised education programs incorporating Auslan and spoken language, resulting in measurable gains in students' expressive communication.</w:t>
      </w:r>
    </w:p>
    <w:p>
      <w:pPr>
        <w:pStyle w:val="ListBullet"/>
        <w:spacing w:after="80" w:line="276" w:lineRule="auto"/>
      </w:pPr>
      <w:r>
        <w:t>Collaborated with audiologists, speech pathologists and families to monitor progress and adjust teaching strategies, improving continuity of support between home and school.</w:t>
      </w:r>
    </w:p>
    <w:p>
      <w:pPr>
        <w:pStyle w:val="ListBullet"/>
        <w:spacing w:after="80" w:line="276" w:lineRule="auto"/>
      </w:pPr>
      <w:r>
        <w:t>Managed a sound-field FM system across multiple classrooms, reducing listening fatigue and helping students stay engaged during extended lessons.</w:t>
      </w:r>
    </w:p>
    <w:p>
      <w:pPr>
        <w:pStyle w:val="ListBullet"/>
        <w:spacing w:after="80" w:line="276" w:lineRule="auto"/>
      </w:pPr>
      <w:r>
        <w:t>Taught literacy skills using visual supports and Boardmaker, helping students build reading confidence and independence.</w:t>
      </w:r>
    </w:p>
    <w:p>
      <w:pPr>
        <w:pStyle w:val="ListBullet"/>
        <w:spacing w:after="240" w:line="276" w:lineRule="auto"/>
      </w:pPr>
      <w:r>
        <w:t>Monitored student progress through Seesaw and written reports, adapting teaching strategies and communicating outcomes clearly to parents and carers.</w:t>
      </w:r>
    </w:p>
    <w:p>
      <w:pPr>
        <w:spacing w:before="280" w:after="120"/>
        <w:jc w:val="left"/>
        <w:pBdr>
          <w:bottom w:val="single" w:sz="6" w:space="4" w:color="DFDED8"/>
        </w:pBdr>
      </w:pPr>
      <w:r>
        <w:rPr>
          <w:b/>
          <w:color w:val="2F62D9"/>
          <w:sz w:val="22"/>
        </w:rPr>
        <w:t>EDUCATION</w:t>
      </w:r>
    </w:p>
    <w:p>
      <w:pPr>
        <w:spacing w:before="0" w:after="200"/>
        <w:jc w:val="left"/>
      </w:pPr>
      <w:r>
        <w:t>Bachelor degree in education (primary or early childhood) followed by a postgraduate qualification in deaf education, such as a Graduate Diploma or Master of Special Education (Deaf Education). Registration with the relevant state or territory teacher regulatory authority and a current Working with Children Check.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