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Trade Mark Examiner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Trade Mark Examiner with a strong background in legal research, regulatory compliance and detailed database analysis. Skilled at applying the Trade Marks Act 1995 to assess registrability, search conflicting marks across national and international systems, and prepare clear written examination reports. Committed to fair, consistent decisions that support the integrity of the Australian trade mark register.</w:t>
      </w:r>
    </w:p>
    <w:p>
      <w:pPr>
        <w:spacing w:before="280" w:after="120"/>
        <w:jc w:val="left"/>
        <w:pBdr>
          <w:bottom w:val="single" w:sz="6" w:space="4" w:color="DFDED8"/>
        </w:pBdr>
      </w:pPr>
      <w:r>
        <w:rPr>
          <w:b/>
          <w:color w:val="2F62D9"/>
          <w:sz w:val="22"/>
        </w:rPr>
        <w:t>KEY SKILLS</w:t>
      </w:r>
    </w:p>
    <w:p>
      <w:pPr>
        <w:spacing w:before="0" w:after="200"/>
        <w:jc w:val="left"/>
      </w:pPr>
      <w:r>
        <w:t>Legal research   •   Regulatory and administrative law   •   Regulatory compliance   •   Data analysis   •   IP Australia TM-Link   •   WIPO Global Brand Database   •   TMview   •   Madrid Monitor   •   Microsoft Office   •   Attention to detail   •   Written communication   •   Stakeholder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Trade Mark Examiner</w:t>
      </w:r>
      <w:r>
        <w:t>, [Company Name], [City]</w:t>
      </w:r>
      <w:r>
        <w:rPr>
          <w:i/>
        </w:rPr>
        <w:tab/>
        <w:t>[Month Year] – [Month Year / Present]</w:t>
      </w:r>
    </w:p>
    <w:p>
      <w:pPr>
        <w:pStyle w:val="ListBullet"/>
        <w:spacing w:after="80" w:line="276" w:lineRule="auto"/>
      </w:pPr>
      <w:r>
        <w:t>Examined trade mark applications against the Trade Marks Act 1995, resolving objections across a steady caseload of several hundred files each year.</w:t>
      </w:r>
    </w:p>
    <w:p>
      <w:pPr>
        <w:pStyle w:val="ListBullet"/>
        <w:spacing w:after="80" w:line="276" w:lineRule="auto"/>
      </w:pPr>
      <w:r>
        <w:t>Searched national and international databases including TM-Link and the WIPO Global Brand Database to identify conflicting earlier marks, flagging citations for attorney review.</w:t>
      </w:r>
    </w:p>
    <w:p>
      <w:pPr>
        <w:pStyle w:val="ListBullet"/>
        <w:spacing w:after="80" w:line="276" w:lineRule="auto"/>
      </w:pPr>
      <w:r>
        <w:t>Prepared written examination reports and statements of grounds for rejection, maintaining a low overturn rate on internal review.</w:t>
      </w:r>
    </w:p>
    <w:p>
      <w:pPr>
        <w:pStyle w:val="ListBullet"/>
        <w:spacing w:after="80" w:line="276" w:lineRule="auto"/>
      </w:pPr>
      <w:r>
        <w:t>Corresponded with applicants and their attorneys to resolve outstanding objections, reducing the need for formal hearings in many matters.</w:t>
      </w:r>
    </w:p>
    <w:p>
      <w:pPr>
        <w:pStyle w:val="ListBullet"/>
        <w:spacing w:after="80" w:line="276" w:lineRule="auto"/>
      </w:pPr>
      <w:r>
        <w:t>Assessed inherent distinctiveness and descriptiveness of proposed marks, applying consistent standards to support defensible registration decisions.</w:t>
      </w:r>
    </w:p>
    <w:p>
      <w:pPr>
        <w:pStyle w:val="ListBullet"/>
        <w:spacing w:after="240" w:line="276" w:lineRule="auto"/>
      </w:pPr>
      <w:r>
        <w:t>Reduced average examination turnaround from 20 working days to 12 by streamlining database search sequences and report templates.</w:t>
      </w:r>
    </w:p>
    <w:p>
      <w:pPr>
        <w:spacing w:before="280" w:after="120"/>
        <w:jc w:val="left"/>
        <w:pBdr>
          <w:bottom w:val="single" w:sz="6" w:space="4" w:color="DFDED8"/>
        </w:pBdr>
      </w:pPr>
      <w:r>
        <w:rPr>
          <w:b/>
          <w:color w:val="2F62D9"/>
          <w:sz w:val="22"/>
        </w:rPr>
        <w:t>EDUCATION</w:t>
      </w:r>
    </w:p>
    <w:p>
      <w:pPr>
        <w:spacing w:before="0" w:after="200"/>
        <w:jc w:val="left"/>
      </w:pPr>
      <w:r>
        <w:t>Bachelor degree in law or a related field such as legal studies or commerce, with some examiners holding a postgraduate qualification in intellectual property.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