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Treasurer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Treasurer with extensive experience managing liquidity, debt and financial risk across corporate and government settings. Skilled in forecasting cash flow, negotiating banking facilities and hedging foreign exchange and interest rate exposure. Known for building strong relationships with lenders and presenting clear treasury reports to boards and executive teams.</w:t>
      </w:r>
    </w:p>
    <w:p>
      <w:pPr>
        <w:spacing w:before="280" w:after="120"/>
        <w:jc w:val="left"/>
        <w:pBdr>
          <w:bottom w:val="single" w:sz="6" w:space="4" w:color="DFDED8"/>
        </w:pBdr>
      </w:pPr>
      <w:r>
        <w:rPr>
          <w:b/>
          <w:color w:val="2F62D9"/>
          <w:sz w:val="22"/>
        </w:rPr>
        <w:t>KEY SKILLS</w:t>
      </w:r>
    </w:p>
    <w:p>
      <w:pPr>
        <w:spacing w:before="0" w:after="200"/>
        <w:jc w:val="left"/>
      </w:pPr>
      <w:r>
        <w:t>Financial reporting   •   Financial analysis and modelling   •   Risk and internal controls   •   Budgeting and forecasting   •   Regulatory compliance   •   Strategy development   •   Treasury management systems (TMS)   •   Bloomberg Terminal   •   SAP or Oracle ERP   •   Excel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Treasurer</w:t>
      </w:r>
      <w:r>
        <w:t>, [Company Name], [City]</w:t>
      </w:r>
      <w:r>
        <w:rPr>
          <w:i/>
        </w:rPr>
        <w:tab/>
        <w:t>[Month Year] – [Month Year / Present]</w:t>
      </w:r>
    </w:p>
    <w:p>
      <w:pPr>
        <w:pStyle w:val="ListBullet"/>
        <w:spacing w:after="80" w:line="276" w:lineRule="auto"/>
      </w:pPr>
      <w:r>
        <w:t>Forecast rolling 13-week cash flow across multiple entities, identifying shortfalls early enough to arrange funding without disrupting operations.</w:t>
      </w:r>
    </w:p>
    <w:p>
      <w:pPr>
        <w:pStyle w:val="ListBullet"/>
        <w:spacing w:after="80" w:line="276" w:lineRule="auto"/>
      </w:pPr>
      <w:r>
        <w:t>Negotiated banking facilities and credit lines with relationship banks, securing terms that supported the organisation's capital plans.</w:t>
      </w:r>
    </w:p>
    <w:p>
      <w:pPr>
        <w:pStyle w:val="ListBullet"/>
        <w:spacing w:after="80" w:line="276" w:lineRule="auto"/>
      </w:pPr>
      <w:r>
        <w:t>Implemented hedging strategies for foreign exchange and interest rate exposure, protecting margins on overseas revenue and variable-rate debt.</w:t>
      </w:r>
    </w:p>
    <w:p>
      <w:pPr>
        <w:pStyle w:val="ListBullet"/>
        <w:spacing w:after="80" w:line="276" w:lineRule="auto"/>
      </w:pPr>
      <w:r>
        <w:t>Prepared treasury reports and covenant compliance certificates for board and lender review, maintaining strong relationships with financiers.</w:t>
      </w:r>
    </w:p>
    <w:p>
      <w:pPr>
        <w:pStyle w:val="ListBullet"/>
        <w:spacing w:after="80" w:line="276" w:lineRule="auto"/>
      </w:pPr>
      <w:r>
        <w:t>Managed surplus cash placement across term deposits and money market instruments, balancing safety and liquidity with return objectives.</w:t>
      </w:r>
    </w:p>
    <w:p>
      <w:pPr>
        <w:pStyle w:val="ListBullet"/>
        <w:spacing w:after="240" w:line="276" w:lineRule="auto"/>
      </w:pPr>
      <w:r>
        <w:t>Used treasury management systems and Excel to automate reporting, reducing manual effort and improving data accuracy.</w:t>
      </w:r>
    </w:p>
    <w:p>
      <w:pPr>
        <w:spacing w:before="280" w:after="120"/>
        <w:jc w:val="left"/>
        <w:pBdr>
          <w:bottom w:val="single" w:sz="6" w:space="4" w:color="DFDED8"/>
        </w:pBdr>
      </w:pPr>
      <w:r>
        <w:rPr>
          <w:b/>
          <w:color w:val="2F62D9"/>
          <w:sz w:val="22"/>
        </w:rPr>
        <w:t>EDUCATION</w:t>
      </w:r>
    </w:p>
    <w:p>
      <w:pPr>
        <w:spacing w:before="0" w:after="200"/>
        <w:jc w:val="left"/>
      </w:pPr>
      <w:r>
        <w:t>A bachelor degree in finance, accounting, commerce or economics is the standard entry point, with many treasurers going on to postgraduate study such as a master's degree or MBA. Professional membership with CPA Australia, Chartered Accountants ANZ or the CFA Institute is common.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