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Treasury Analyst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Treasury Analyst with a background in cash management, debt analysis and financial reporting for corporate and institutional treasury functions. Comfortable working across multiple entities and bank accounts, translating raw transaction data into forecasts and reports that support funding and risk decisions. Known for accuracy under month-end pressure and clear reporting to senior stakeholders.</w:t>
      </w:r>
    </w:p>
    <w:p>
      <w:pPr>
        <w:spacing w:before="280" w:after="120"/>
        <w:jc w:val="left"/>
        <w:pBdr>
          <w:bottom w:val="single" w:sz="6" w:space="4" w:color="DFDED8"/>
        </w:pBdr>
      </w:pPr>
      <w:r>
        <w:rPr>
          <w:b/>
          <w:color w:val="2F62D9"/>
          <w:sz w:val="22"/>
        </w:rPr>
        <w:t>KEY SKILLS</w:t>
      </w:r>
    </w:p>
    <w:p>
      <w:pPr>
        <w:spacing w:before="0" w:after="200"/>
        <w:jc w:val="left"/>
      </w:pPr>
      <w:r>
        <w:t>Cash flow forecasting and liquidity management   •   Financial analysis and modelling   •   Debt and refinancing analysis   •   Risk and internal controls   •   Counterparty credit risk assessment   •   Regulatory compliance   •   Bloomberg Terminal   •   Excel / VBA   •   Treasury management system (TMS)   •   SAP or Oracle ERP   •   Power BI or Tableau</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Treasury Analyst</w:t>
      </w:r>
      <w:r>
        <w:t>, [Company Name], [City]</w:t>
      </w:r>
      <w:r>
        <w:rPr>
          <w:i/>
        </w:rPr>
        <w:tab/>
        <w:t>[Month Year] – [Month Year / Present]</w:t>
      </w:r>
    </w:p>
    <w:p>
      <w:pPr>
        <w:pStyle w:val="ListBullet"/>
        <w:spacing w:after="80" w:line="276" w:lineRule="auto"/>
      </w:pPr>
      <w:r>
        <w:t>Forecast daily and weekly cash positions across multiple entities and bank accounts to support funding decisions and avoid unplanned overdrafts</w:t>
      </w:r>
    </w:p>
    <w:p>
      <w:pPr>
        <w:pStyle w:val="ListBullet"/>
        <w:spacing w:after="80" w:line="276" w:lineRule="auto"/>
      </w:pPr>
      <w:r>
        <w:t>Analysed debt instruments and interest rate exposure, identifying refinancing options that reduced borrowing costs</w:t>
      </w:r>
    </w:p>
    <w:p>
      <w:pPr>
        <w:pStyle w:val="ListBullet"/>
        <w:spacing w:after="80" w:line="276" w:lineRule="auto"/>
      </w:pPr>
      <w:r>
        <w:t>Reconciled bank transactions, investment holdings and derivative positions against the general ledger, resolving discrepancies before month-end close</w:t>
      </w:r>
    </w:p>
    <w:p>
      <w:pPr>
        <w:pStyle w:val="ListBullet"/>
        <w:spacing w:after="80" w:line="276" w:lineRule="auto"/>
      </w:pPr>
      <w:r>
        <w:t>Built treasury dashboards in Power BI to give senior management visibility of liquidity, debt maturity and covenant headroom</w:t>
      </w:r>
    </w:p>
    <w:p>
      <w:pPr>
        <w:pStyle w:val="ListBullet"/>
        <w:spacing w:after="80" w:line="276" w:lineRule="auto"/>
      </w:pPr>
      <w:r>
        <w:t>Assessed counterparty exposure against treasury policy limits, escalating breaches to the treasury committee for review</w:t>
      </w:r>
    </w:p>
    <w:p>
      <w:pPr>
        <w:pStyle w:val="ListBullet"/>
        <w:spacing w:after="240" w:line="276" w:lineRule="auto"/>
      </w:pPr>
      <w:r>
        <w:t>Prepared treasury reports summarising cash, debt and investment positions for CFO and audit committee review</w:t>
      </w:r>
    </w:p>
    <w:p>
      <w:pPr>
        <w:spacing w:before="280" w:after="120"/>
        <w:jc w:val="left"/>
        <w:pBdr>
          <w:bottom w:val="single" w:sz="6" w:space="4" w:color="DFDED8"/>
        </w:pBdr>
      </w:pPr>
      <w:r>
        <w:rPr>
          <w:b/>
          <w:color w:val="2F62D9"/>
          <w:sz w:val="22"/>
        </w:rPr>
        <w:t>EDUCATION</w:t>
      </w:r>
    </w:p>
    <w:p>
      <w:pPr>
        <w:spacing w:before="0" w:after="200"/>
        <w:jc w:val="left"/>
      </w:pPr>
      <w:r>
        <w:t>Bachelor degree in finance, commerce, accounting or economics is the standard entry point, with many analysts later completing postgraduate study or the Finance and Treasury Association's Certified Treasury Professional (CTP) qualification while working.</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