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Underwriter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Underwriter experienced in assessing insurance or lending applications against financial data, risk factors and regulatory requirements. Comfortable balancing analytical rigour with clear communication to brokers, applicants and internal teams, and confident applying underwriting guidelines consistently across a varied caseload.</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Risk assessment and internal controls   •   Regulatory compliance (APRA, ASIC requirements)   •   Data analysis and portfolio monitoring   •   Underwriting management systems (Guidewire, Sapiens)   •   Credit scoring models   •   Excel and data analytics tools   •   Client relationship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Underwriter</w:t>
      </w:r>
      <w:r>
        <w:t>, [Company Name], [City]</w:t>
      </w:r>
      <w:r>
        <w:rPr>
          <w:i/>
        </w:rPr>
        <w:tab/>
        <w:t>[Month Year] – [Month Year / Present]</w:t>
      </w:r>
    </w:p>
    <w:p>
      <w:pPr>
        <w:pStyle w:val="ListBullet"/>
        <w:spacing w:after="80" w:line="276" w:lineRule="auto"/>
      </w:pPr>
      <w:r>
        <w:t>Reviewed application documents and financial statements to assess creditworthiness, reducing turnaround time on standard applications by streamlining document checks</w:t>
      </w:r>
    </w:p>
    <w:p>
      <w:pPr>
        <w:pStyle w:val="ListBullet"/>
        <w:spacing w:after="80" w:line="276" w:lineRule="auto"/>
      </w:pPr>
      <w:r>
        <w:t>Interpreted medical reports, property valuations and inspection findings to inform coverage decisions across a mixed portfolio of personal and commercial risk</w:t>
      </w:r>
    </w:p>
    <w:p>
      <w:pPr>
        <w:pStyle w:val="ListBullet"/>
        <w:spacing w:after="80" w:line="276" w:lineRule="auto"/>
      </w:pPr>
      <w:r>
        <w:t>Calculated premiums and loan terms using underwriting models and actuarial data, keeping pricing consistent with company risk appetite</w:t>
      </w:r>
    </w:p>
    <w:p>
      <w:pPr>
        <w:pStyle w:val="ListBullet"/>
        <w:spacing w:after="80" w:line="276" w:lineRule="auto"/>
      </w:pPr>
      <w:r>
        <w:t>Communicated approval decisions and policy conditions to brokers and applicants, resolving queries directly to avoid unnecessary escalation</w:t>
      </w:r>
    </w:p>
    <w:p>
      <w:pPr>
        <w:pStyle w:val="ListBullet"/>
        <w:spacing w:after="240" w:line="276" w:lineRule="auto"/>
      </w:pPr>
      <w:r>
        <w:t>Monitored portfolio performance against claims and default trends, feeding findings back into underwriting guideline reviews</w:t>
      </w:r>
    </w:p>
    <w:p>
      <w:pPr>
        <w:spacing w:before="280" w:after="120"/>
        <w:jc w:val="left"/>
        <w:pBdr>
          <w:bottom w:val="single" w:sz="6" w:space="4" w:color="DFDED8"/>
        </w:pBdr>
      </w:pPr>
      <w:r>
        <w:rPr>
          <w:b/>
          <w:color w:val="2F62D9"/>
          <w:sz w:val="22"/>
        </w:rPr>
        <w:t>EDUCATION</w:t>
      </w:r>
    </w:p>
    <w:p>
      <w:pPr>
        <w:spacing w:before="0" w:after="200"/>
        <w:jc w:val="left"/>
      </w:pPr>
      <w:r>
        <w:t>Bachelor degree in commerce, finance, economics or actuarial studies is the most common entry point, with some employers preferring or supporting postgraduate study; ANZIIF or FINSIA certification is often completed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