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Urologist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Urologist with extensive experience in diagnosing and treating conditions of the urinary tract and male reproductive system. Skilled in open, laparoscopic and robotic surgery, including prostatectomy and nephrectomy, with a strong focus on patient centred care and long term follow up. Committed to multidisciplinary collaboration and ongoing professional development.</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   Health education and advice   •   da Vinci Surgical System   •   Cystoscope   •   Electronic medical records (Epic)   •   Transrectal ultrasound   •   PACS imaging software   •   Problem solving   •   Written communication   •   Attention to detail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Urologist</w:t>
      </w:r>
      <w:r>
        <w:t>, [Company Name], [City]</w:t>
      </w:r>
      <w:r>
        <w:rPr>
          <w:i/>
        </w:rPr>
        <w:tab/>
        <w:t>[Month Year] – [Month Year / Present]</w:t>
      </w:r>
    </w:p>
    <w:p>
      <w:pPr>
        <w:pStyle w:val="ListBullet"/>
        <w:spacing w:after="80" w:line="276" w:lineRule="auto"/>
      </w:pPr>
      <w:r>
        <w:t>Diagnosed and managed complex urological conditions, including prostate cancer, kidney stones and incontinence, through comprehensive clinic based assessment and diagnostic imaging.</w:t>
      </w:r>
    </w:p>
    <w:p>
      <w:pPr>
        <w:pStyle w:val="ListBullet"/>
        <w:spacing w:after="80" w:line="276" w:lineRule="auto"/>
      </w:pPr>
      <w:r>
        <w:t>Performed more than 200 robotic assisted radical prostatectomies using the da Vinci Surgical System, with a focus on nerve sparing techniques and continence preservation.</w:t>
      </w:r>
    </w:p>
    <w:p>
      <w:pPr>
        <w:pStyle w:val="ListBullet"/>
        <w:spacing w:after="80" w:line="276" w:lineRule="auto"/>
      </w:pPr>
      <w:r>
        <w:t>Conducted over 300 cystoscopies and endoscopic procedures annually for bladder and urethral conditions, interpreting findings to guide treatment plans.</w:t>
      </w:r>
    </w:p>
    <w:p>
      <w:pPr>
        <w:pStyle w:val="ListBullet"/>
        <w:spacing w:after="80" w:line="276" w:lineRule="auto"/>
      </w:pPr>
      <w:r>
        <w:t>Interpreted urodynamic studies, pathology and PACS imaging to develop individualised treatment strategies for patients with chronic urological conditions.</w:t>
      </w:r>
    </w:p>
    <w:p>
      <w:pPr>
        <w:pStyle w:val="ListBullet"/>
        <w:spacing w:after="80" w:line="276" w:lineRule="auto"/>
      </w:pPr>
      <w:r>
        <w:t>Provided post operative care and long term follow up for a caseload of 400 patients across public and private hospital settings, coordinating with multidisciplinary teams.</w:t>
      </w:r>
    </w:p>
    <w:p>
      <w:pPr>
        <w:pStyle w:val="ListBullet"/>
        <w:spacing w:after="240" w:line="276" w:lineRule="auto"/>
      </w:pPr>
      <w:r>
        <w:t>Supervised a team of 5 registrars and 10 nurses in a urology clinic, improving patient flow and streamlining clinic operations.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specialist training in urology with the Royal Australasian College of Surgeons (RACS) and Fellowship of the Royal Australasian College of Surgeons (FRACS).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