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Vascular Surgeon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Vascular surgeon with Fellowship of the Royal Australasian College of Surgeons, experienced in open and endovascular management of arterial and venous disease. Combines high-volume operative practice with multidisciplinary clinic leadership and registrar supervision. Committed to evidence-based care and improving patient outcomes across the full spectrum of vascular conditions.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Clinical assessment and treatment of arterial and venous disease   •   Open vascular surgery including bypass and endarterectomy   •   Endovascular procedures including aneurysm repair and angioplasty   •   Interpretation of angiography, duplex ultrasound and CT imaging   •   Patient care and support through shared decision-making   •   Sectra PACS   •   Epic Hyperspace   •   Cerner Millennium   •   Siemens syngo.via   •   Problem solving in complex clinical scenarios   •   Written communication for referrals and documentation   •   Attention to detail in operative and post-operative care   •   People leadership and registrar supervision   •   Time and deadline management in theatre and clinics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Vascular Surgeon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Performed over 300 open and endovascular procedures annually, including aortic aneurysm repair, carotid endarterectomy and lower limb revascularisation.</w:t>
      </w:r>
    </w:p>
    <w:p>
      <w:pPr>
        <w:pStyle w:val="ListBullet"/>
        <w:spacing w:after="80" w:line="276" w:lineRule="auto"/>
      </w:pPr>
      <w:r>
        <w:t>Interpreted diagnostic imaging using Sectra PACS and Siemens syngo.via to plan complex endovascular interventions.</w:t>
      </w:r>
    </w:p>
    <w:p>
      <w:pPr>
        <w:pStyle w:val="ListBullet"/>
        <w:spacing w:after="80" w:line="276" w:lineRule="auto"/>
      </w:pPr>
      <w:r>
        <w:t>Managed post-operative care for vascular patients, reducing unplanned returns to theatre through a structured handover and follow-up protocol.</w:t>
      </w:r>
    </w:p>
    <w:p>
      <w:pPr>
        <w:pStyle w:val="ListBullet"/>
        <w:spacing w:after="80" w:line="276" w:lineRule="auto"/>
      </w:pPr>
      <w:r>
        <w:t>Supervised and mentored vascular registrars, supporting their operative logbook progression and preparation for RACS fellowship exams.</w:t>
      </w:r>
    </w:p>
    <w:p>
      <w:pPr>
        <w:pStyle w:val="ListBullet"/>
        <w:spacing w:after="240" w:line="276" w:lineRule="auto"/>
      </w:pPr>
      <w:r>
        <w:t>Contributed to multidisciplinary clinics for peripheral artery disease, improving coordination between vascular surgery, podiatry and wound care.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Medicine, Bachelor of Surgery (MBBS) or Doctor of Medicine (MD), followed by Royal Australasian College of Surgeons (RACS) vascular surgery training and Fellowship (FRACS), with registration as a specialist with AHPRA.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