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Water Engineer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Water Engineer with a civil and environmental engineering background, focused on the design, modelling and delivery of water supply, sewerage and stormwater infrastructure. Comfortable moving between hydraulic models, drawings, specifications and site inspections, and used to keeping design decisions defensible against drinking water, environmental and safety requirements. Works closely with utilities, councils, contractors and drafting teams to get projects built the way they were designed.</w:t>
      </w:r>
    </w:p>
    <w:p>
      <w:pPr>
        <w:spacing w:before="280" w:after="120"/>
        <w:jc w:val="left"/>
        <w:pBdr>
          <w:bottom w:val="single" w:sz="6" w:space="4" w:color="DFDED8"/>
        </w:pBdr>
      </w:pPr>
      <w:r>
        <w:rPr>
          <w:b/>
          <w:color w:val="2F62D9"/>
          <w:sz w:val="22"/>
        </w:rPr>
        <w:t>KEY SKILLS</w:t>
      </w:r>
    </w:p>
    <w:p>
      <w:pPr>
        <w:spacing w:before="0" w:after="200"/>
        <w:jc w:val="left"/>
      </w:pPr>
      <w:r>
        <w:t>Hydraulic network modelling in WaterGEMS and EPANET   •   Water supply, sewerage and stormwater network design   •   CAD and technical drawing in AutoCAD and 12d Model   •   GIS analysis and catchment mapping in ArcGIS   •   Project engineering and delivery   •   Tender documentation, specifications and drawings   •   Field inspection, testing and construction monitoring   •   Environmental and regulatory assessment   •   Stakeholder management across utilities, councils and contractors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Water Engineer</w:t>
      </w:r>
      <w:r>
        <w:t>, [Company Name], [City]</w:t>
      </w:r>
      <w:r>
        <w:rPr>
          <w:i/>
        </w:rPr>
        <w:tab/>
        <w:t>[Month Year] – [Month Year / Present]</w:t>
      </w:r>
    </w:p>
    <w:p>
      <w:pPr>
        <w:pStyle w:val="ListBullet"/>
        <w:spacing w:after="80" w:line="276" w:lineRule="auto"/>
      </w:pPr>
      <w:r>
        <w:t>Built and calibrated a trunk water main model covering several supply zones, testing peak and minimum demand scenarios and identifying sections that needed upsizing before tender rather than during construction.</w:t>
      </w:r>
    </w:p>
    <w:p>
      <w:pPr>
        <w:pStyle w:val="ListBullet"/>
        <w:spacing w:after="80" w:line="276" w:lineRule="auto"/>
      </w:pPr>
      <w:r>
        <w:t>Prepared drawings, specifications and tender packages for three pump station upgrades, keeping scope and interfaces clear enough that contractors priced the work without a round of clarification questions.</w:t>
      </w:r>
    </w:p>
    <w:p>
      <w:pPr>
        <w:pStyle w:val="ListBullet"/>
        <w:spacing w:after="80" w:line="276" w:lineRule="auto"/>
      </w:pPr>
      <w:r>
        <w:t>Inspected a sewer rising main during construction and closed out defects at each hold point, so the following stage was handed over without rework.</w:t>
      </w:r>
    </w:p>
    <w:p>
      <w:pPr>
        <w:pStyle w:val="ListBullet"/>
        <w:spacing w:after="80" w:line="276" w:lineRule="auto"/>
      </w:pPr>
      <w:r>
        <w:t>Assessed environmental and regulatory requirements for a stormwater discharge proposal, working with the state regulator and council to resolve the discharge conditions before the design was finalised.</w:t>
      </w:r>
    </w:p>
    <w:p>
      <w:pPr>
        <w:pStyle w:val="ListBullet"/>
        <w:spacing w:after="240" w:line="276" w:lineRule="auto"/>
      </w:pPr>
      <w:r>
        <w:t>Ran stakeholder meetings with a utility operations team through the concept design of a new reservoir connection, capturing their maintenance access and isolation requirements early so the layout did not need reworking later.</w:t>
      </w:r>
    </w:p>
    <w:p>
      <w:pPr>
        <w:spacing w:before="280" w:after="120"/>
        <w:jc w:val="left"/>
        <w:pBdr>
          <w:bottom w:val="single" w:sz="6" w:space="4" w:color="DFDED8"/>
        </w:pBdr>
      </w:pPr>
      <w:r>
        <w:rPr>
          <w:b/>
          <w:color w:val="2F62D9"/>
          <w:sz w:val="22"/>
        </w:rPr>
        <w:t>EDUCATION</w:t>
      </w:r>
    </w:p>
    <w:p>
      <w:pPr>
        <w:spacing w:before="0" w:after="200"/>
        <w:jc w:val="left"/>
      </w:pPr>
      <w:r>
        <w:t>Bachelor of Engineering (Civil, Environmental or similar) accredited by Engineers Australia, with many water engineers adding a postgraduate qualification in water resources or environmental engineering. Chartered status through Engineers Australia typically follows four to six years of relevant experience, and state registration such as RPEQ applies to certain roles in Queensland.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