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Weeds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Weeds Officer with field experience surveying roadsides, waterways and reserves for declared and environmental weeds. Skilled in herbicide application, spatial record-keeping using ArcGIS and Field Maps, and advising landholders on control priorities. Comfortable working under biosecurity legislation and supporting compliance investigations.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Environmental assessment   •   Field inspection and testing   •   Regulatory compliance   •   Surveying and geospatial work   •   Community engagement   •   Plant and equipment operation   •   Esri ArcGIS   •   QGIS   •   Esri Field Maps   •   Trimble GPS units   •   Backpack spray units   •   Safety and compliance awareness   •   Written communication   •   Weed identification   •   Herbicide application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Weeds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seasonal surveys across council roadsides and reserves, mapping infestations in ArcGIS and scheduling follow-up treatments for over 200 sites.</w:t>
      </w:r>
    </w:p>
    <w:p>
      <w:pPr>
        <w:pStyle w:val="ListBullet"/>
        <w:spacing w:after="80" w:line="276" w:lineRule="auto"/>
      </w:pPr>
      <w:r>
        <w:t>Applied and supervised herbicide treatments using backpack spray units, maintaining safety and environmental compliance across multiple work sites.</w:t>
      </w:r>
    </w:p>
    <w:p>
      <w:pPr>
        <w:pStyle w:val="ListBullet"/>
        <w:spacing w:after="80" w:line="276" w:lineRule="auto"/>
      </w:pPr>
      <w:r>
        <w:t>Advised landholders and community groups on weed identification and control options, increasing participation in coordinated control programs.</w:t>
      </w:r>
    </w:p>
    <w:p>
      <w:pPr>
        <w:pStyle w:val="ListBullet"/>
        <w:spacing w:after="80" w:line="276" w:lineRule="auto"/>
      </w:pPr>
      <w:r>
        <w:t>Investigated reports of declared weeds and prepared evidence to support compliance action under state biosecurity legislation.</w:t>
      </w:r>
    </w:p>
    <w:p>
      <w:pPr>
        <w:pStyle w:val="ListBullet"/>
        <w:spacing w:after="240" w:line="276" w:lineRule="auto"/>
      </w:pPr>
      <w:r>
        <w:t>Recorded treatment history and follow-up schedules in field data systems, reducing missed re-inspections across a 15-person team.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Common pathways include a Certificate III or IV in Conservation and Land Management, a Diploma of Conservation and Land Management, or a Bachelor of Environmental Science. Many roles also require a current chemical user accreditation such as ChemCert and a manual driver's licence.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