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Workplace Relations Advisor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Workplace relations advisor with practical experience applying the Fair Work Act and modern awards to real workplace disputes and policy questions. Comfortable advising both management and staff, drafting enterprise agreements, and representing organisations in Fair Work Commission matters. Known for translating complex industrial relations law into decisions managers can actually act on.</w:t>
      </w:r>
    </w:p>
    <w:p>
      <w:pPr>
        <w:spacing w:before="280" w:after="120"/>
        <w:jc w:val="left"/>
        <w:pBdr>
          <w:bottom w:val="single" w:sz="6" w:space="4" w:color="DFDED8"/>
        </w:pBdr>
      </w:pPr>
      <w:r>
        <w:rPr>
          <w:b/>
          <w:color w:val="2F62D9"/>
          <w:sz w:val="22"/>
        </w:rPr>
        <w:t>KEY SKILLS</w:t>
      </w:r>
    </w:p>
    <w:p>
      <w:pPr>
        <w:spacing w:before="0" w:after="200"/>
        <w:jc w:val="left"/>
      </w:pPr>
      <w:r>
        <w:t>Fair Work Act and National Employment Standards interpretation   •   Enterprise agreement and employment contract drafting   •   Workplace investigations and grievance mediation   •   Regulatory compliance and policy analysis   •   Fair Work Online portal   •   Case management software   •   Microsoft Word and Excel   •   Stakeholder management and client advisory   •   Written communication under legal scrutiny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Workplace Relations Advisor</w:t>
      </w:r>
      <w:r>
        <w:t>, [Company Name], [City]</w:t>
      </w:r>
      <w:r>
        <w:rPr>
          <w:i/>
        </w:rPr>
        <w:tab/>
        <w:t>[Month Year] – [Month Year / Present]</w:t>
      </w:r>
    </w:p>
    <w:p>
      <w:pPr>
        <w:pStyle w:val="ListBullet"/>
        <w:spacing w:after="80" w:line="276" w:lineRule="auto"/>
      </w:pPr>
      <w:r>
        <w:t>Advised managers and staff on Fair Work Act obligations, reducing repeat compliance queries by building a plain-language policy FAQ used across the business</w:t>
      </w:r>
    </w:p>
    <w:p>
      <w:pPr>
        <w:pStyle w:val="ListBullet"/>
        <w:spacing w:after="80" w:line="276" w:lineRule="auto"/>
      </w:pPr>
      <w:r>
        <w:t>Drafted and reviewed enterprise agreements and employment contracts, aligning terms with current award coverage and NES requirements</w:t>
      </w:r>
    </w:p>
    <w:p>
      <w:pPr>
        <w:pStyle w:val="ListBullet"/>
        <w:spacing w:after="80" w:line="276" w:lineRule="auto"/>
      </w:pPr>
      <w:r>
        <w:t>Investigated and mediated workplace grievances and unfair dismissal claims, resolving a majority at the internal stage before matters reached the Fair Work Commission</w:t>
      </w:r>
    </w:p>
    <w:p>
      <w:pPr>
        <w:pStyle w:val="ListBullet"/>
        <w:spacing w:after="80" w:line="276" w:lineRule="auto"/>
      </w:pPr>
      <w:r>
        <w:t>Represented the organisation in union negotiations and Fair Work Commission conciliation conferences, briefing senior management on positions and risk before each session</w:t>
      </w:r>
    </w:p>
    <w:p>
      <w:pPr>
        <w:pStyle w:val="ListBullet"/>
        <w:spacing w:after="240" w:line="276" w:lineRule="auto"/>
      </w:pPr>
      <w:r>
        <w:t>Delivered training sessions for line managers on performance management and legal risk, improving documentation quality in subsequent disciplinary processes</w:t>
      </w:r>
    </w:p>
    <w:p>
      <w:pPr>
        <w:spacing w:before="280" w:after="120"/>
        <w:jc w:val="left"/>
        <w:pBdr>
          <w:bottom w:val="single" w:sz="6" w:space="4" w:color="DFDED8"/>
        </w:pBdr>
      </w:pPr>
      <w:r>
        <w:rPr>
          <w:b/>
          <w:color w:val="2F62D9"/>
          <w:sz w:val="22"/>
        </w:rPr>
        <w:t>EDUCATION</w:t>
      </w:r>
    </w:p>
    <w:p>
      <w:pPr>
        <w:spacing w:before="0" w:after="200"/>
        <w:jc w:val="left"/>
      </w:pPr>
      <w:r>
        <w:t>Typical pathway is a bachelor degree in human resource management, industrial relations, or law, with many advisors adding postgraduate study in employment law; some enter through a Certificate III/IV or diploma in human resources combined with several years of HR generalist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