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Youth Justice Worker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Youth Justice Worker with experience supervising young people in custody and community settings. Skilled in risk and needs assessment, case planning and connecting young people with education, health and family support. Committed to rehabilitation and community safety through trauma-informed practice and strong stakeholder collaboration.</w:t>
      </w:r>
    </w:p>
    <w:p>
      <w:pPr>
        <w:spacing w:before="280" w:after="120"/>
        <w:jc w:val="left"/>
        <w:pBdr>
          <w:bottom w:val="single" w:sz="6" w:space="4" w:color="DFDED8"/>
        </w:pBdr>
      </w:pPr>
      <w:r>
        <w:rPr>
          <w:b/>
          <w:color w:val="2F62D9"/>
          <w:sz w:val="22"/>
        </w:rPr>
        <w:t>KEY SKILLS</w:t>
      </w:r>
    </w:p>
    <w:p>
      <w:pPr>
        <w:spacing w:before="0" w:after="200"/>
        <w:jc w:val="left"/>
      </w:pPr>
      <w:r>
        <w:t>Casework and client support   •   Counselling and support work   •   Community engagement   •   Regulatory compliance   •   Risk and internal controls   •   ICMS (Integrated Client Management System)   •   CRIS (Client Relationship Information System)   •   Microsoft Office   •   Outlook   •   Excel   •   Written communication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Youth Justice Worker</w:t>
      </w:r>
      <w:r>
        <w:t>, [Company Name], [City]</w:t>
      </w:r>
      <w:r>
        <w:rPr>
          <w:i/>
        </w:rPr>
        <w:tab/>
        <w:t>[Month Year] – [Month Year / Present]</w:t>
      </w:r>
    </w:p>
    <w:p>
      <w:pPr>
        <w:pStyle w:val="ListBullet"/>
        <w:spacing w:after="80" w:line="276" w:lineRule="auto"/>
      </w:pPr>
      <w:r>
        <w:t>Managed a caseload of 18 young people on community-based orders, conducting regular home visits and school liaison to monitor compliance and wellbeing.</w:t>
      </w:r>
    </w:p>
    <w:p>
      <w:pPr>
        <w:pStyle w:val="ListBullet"/>
        <w:spacing w:after="80" w:line="276" w:lineRule="auto"/>
      </w:pPr>
      <w:r>
        <w:t>Developed and reviewed individual case plans in collaboration with courts, families and support services, reducing breach rates across the caseload.</w:t>
      </w:r>
    </w:p>
    <w:p>
      <w:pPr>
        <w:pStyle w:val="ListBullet"/>
        <w:spacing w:after="80" w:line="276" w:lineRule="auto"/>
      </w:pPr>
      <w:r>
        <w:t>Facilitated rehabilitation and education programs in a custodial setting, improving engagement and reducing incident reports over a six-month period.</w:t>
      </w:r>
    </w:p>
    <w:p>
      <w:pPr>
        <w:pStyle w:val="ListBullet"/>
        <w:spacing w:after="80" w:line="276" w:lineRule="auto"/>
      </w:pPr>
      <w:r>
        <w:t>Completed risk and needs assessments within required timeframes, using ICMS and CRIS to maintain accurate records and inform case decisions.</w:t>
      </w:r>
    </w:p>
    <w:p>
      <w:pPr>
        <w:pStyle w:val="ListBullet"/>
        <w:spacing w:after="240" w:line="276" w:lineRule="auto"/>
      </w:pPr>
      <w:r>
        <w:t>Liaised with police, schools and community agencies to coordinate support for young people transitioning back into the community.</w:t>
      </w:r>
    </w:p>
    <w:p>
      <w:pPr>
        <w:spacing w:before="280" w:after="120"/>
        <w:jc w:val="left"/>
        <w:pBdr>
          <w:bottom w:val="single" w:sz="6" w:space="4" w:color="DFDED8"/>
        </w:pBdr>
      </w:pPr>
      <w:r>
        <w:rPr>
          <w:b/>
          <w:color w:val="2F62D9"/>
          <w:sz w:val="22"/>
        </w:rPr>
        <w:t>EDUCATION</w:t>
      </w:r>
    </w:p>
    <w:p>
      <w:pPr>
        <w:spacing w:before="0" w:after="200"/>
        <w:jc w:val="left"/>
      </w:pPr>
      <w:r>
        <w:t>Typically a Bachelor degree in social work, psychology, criminology or youth work, or a Diploma of Youth Justice or Community Services. Some workers enter with a Certificate IV in Youth Justice and complete further study while working.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