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Youth Worker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Youth Worker with experience building trust with young people aged 10 to 24 across community, school and outreach settings, combining one-on-one mentoring with group program design. Skilled in needs and risk assessment, case documentation and connecting clients with mental health, housing, legal and employment services. Comfortable holding clear boundaries in higher-risk environments including youth justice settings.</w:t>
      </w:r>
    </w:p>
    <w:p>
      <w:pPr>
        <w:spacing w:before="280" w:after="120"/>
        <w:jc w:val="left"/>
        <w:pBdr>
          <w:bottom w:val="single" w:sz="6" w:space="4" w:color="DFDED8"/>
        </w:pBdr>
      </w:pPr>
      <w:r>
        <w:rPr>
          <w:b/>
          <w:color w:val="2F62D9"/>
          <w:sz w:val="22"/>
        </w:rPr>
        <w:t>KEY SKILLS</w:t>
      </w:r>
    </w:p>
    <w:p>
      <w:pPr>
        <w:spacing w:before="0" w:after="200"/>
        <w:jc w:val="left"/>
      </w:pPr>
      <w:r>
        <w:t>Casework and client support   •   Counselling and support work   •   Community engagement   •   Pastoral care and wellbeing   •   Group facilitation and program design   •   Risk assessment and incident reporting   •   Case management software (Smartygrants, Civica)   •   Stakeholder and inter-agency liaison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Youth Worker</w:t>
      </w:r>
      <w:r>
        <w:t>, [Company Name], [City]</w:t>
      </w:r>
      <w:r>
        <w:rPr>
          <w:i/>
        </w:rPr>
        <w:tab/>
        <w:t>[Month Year] – [Month Year / Present]</w:t>
      </w:r>
    </w:p>
    <w:p>
      <w:pPr>
        <w:pStyle w:val="ListBullet"/>
        <w:spacing w:after="80" w:line="276" w:lineRule="auto"/>
      </w:pPr>
      <w:r>
        <w:t>Built rapport with young people through structured intake interviews and ongoing observation, identifying risk factors early and adjusting support plans accordingly</w:t>
      </w:r>
    </w:p>
    <w:p>
      <w:pPr>
        <w:pStyle w:val="ListBullet"/>
        <w:spacing w:after="80" w:line="276" w:lineRule="auto"/>
      </w:pPr>
      <w:r>
        <w:t>Designed and delivered group programs on life skills, mental health and employment pathways, increasing week-on-week attendance across a ten-week program</w:t>
      </w:r>
    </w:p>
    <w:p>
      <w:pPr>
        <w:pStyle w:val="ListBullet"/>
        <w:spacing w:after="80" w:line="276" w:lineRule="auto"/>
      </w:pPr>
      <w:r>
        <w:t>Provided one-on-one mentoring and counselling on family conflict, substance use and social isolation, supporting clients to re-engage with education or work</w:t>
      </w:r>
    </w:p>
    <w:p>
      <w:pPr>
        <w:pStyle w:val="ListBullet"/>
        <w:spacing w:after="80" w:line="276" w:lineRule="auto"/>
      </w:pPr>
      <w:r>
        <w:t>Referred young people to mental health, housing, legal and employment services, maintaining follow-up contact to reduce service drop-off</w:t>
      </w:r>
    </w:p>
    <w:p>
      <w:pPr>
        <w:pStyle w:val="ListBullet"/>
        <w:spacing w:after="240" w:line="276" w:lineRule="auto"/>
      </w:pPr>
      <w:r>
        <w:t>Maintained detailed case notes in Smartygrants and Civica, meeting agency reporting deadlines and supporting accurate handover between services</w:t>
      </w:r>
    </w:p>
    <w:p>
      <w:pPr>
        <w:spacing w:before="280" w:after="120"/>
        <w:jc w:val="left"/>
        <w:pBdr>
          <w:bottom w:val="single" w:sz="6" w:space="4" w:color="DFDED8"/>
        </w:pBdr>
      </w:pPr>
      <w:r>
        <w:rPr>
          <w:b/>
          <w:color w:val="2F62D9"/>
          <w:sz w:val="22"/>
        </w:rPr>
        <w:t>EDUCATION</w:t>
      </w:r>
    </w:p>
    <w:p>
      <w:pPr>
        <w:spacing w:before="0" w:after="200"/>
        <w:jc w:val="left"/>
      </w:pPr>
      <w:r>
        <w:t>Certificate IV or Diploma of Youth Work is the most common entry pathway, with a Bachelor of Social Work, Youth Work or a related human services degree increasingly sought for senior or clinical-facing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